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9ADF3" w14:textId="5C582675" w:rsidR="001A2C08" w:rsidRPr="00A146FC" w:rsidRDefault="001A2C08" w:rsidP="001A2C08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</w:pPr>
      <w:r w:rsidRPr="00A146FC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00.00.00</w:t>
      </w:r>
      <w:r w:rsidRPr="00A146FC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ab/>
      </w:r>
      <w:proofErr w:type="spellStart"/>
      <w:proofErr w:type="gramStart"/>
      <w:r w:rsidRPr="00A146FC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Systeemplafond</w:t>
      </w:r>
      <w:proofErr w:type="spellEnd"/>
      <w:r w:rsidRPr="00A146FC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 FH</w:t>
      </w:r>
      <w:proofErr w:type="gramEnd"/>
      <w:r w:rsidRPr="00A146FC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 m²</w:t>
      </w:r>
      <w:r w:rsidRPr="00A146FC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A146FC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="00A146FC" w:rsidRPr="00A146FC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>Rockfon® Canva™ Wall_NL</w:t>
      </w:r>
    </w:p>
    <w:p w14:paraId="3E732150" w14:textId="661558CD" w:rsidR="001A2C08" w:rsidRPr="00421FB9" w:rsidRDefault="001A2C08" w:rsidP="001A2C08">
      <w:pPr>
        <w:spacing w:after="240" w:line="240" w:lineRule="auto"/>
        <w:rPr>
          <w:rFonts w:cstheme="minorHAnsi"/>
          <w:b/>
          <w:sz w:val="20"/>
          <w:szCs w:val="20"/>
          <w:u w:val="single"/>
        </w:rPr>
      </w:pPr>
      <w:r w:rsidRPr="00421FB9">
        <w:rPr>
          <w:rFonts w:cstheme="minorHAnsi"/>
          <w:b/>
          <w:sz w:val="20"/>
          <w:szCs w:val="20"/>
          <w:u w:val="single"/>
        </w:rPr>
        <w:t>00.00.00</w:t>
      </w:r>
      <w:r w:rsidRPr="00421FB9">
        <w:rPr>
          <w:rFonts w:cstheme="minorHAnsi"/>
          <w:b/>
          <w:sz w:val="20"/>
          <w:szCs w:val="20"/>
          <w:u w:val="single"/>
        </w:rPr>
        <w:tab/>
      </w:r>
      <w:r w:rsidR="00421FB9" w:rsidRPr="00421FB9">
        <w:rPr>
          <w:rFonts w:cstheme="minorHAnsi"/>
          <w:b/>
          <w:sz w:val="20"/>
          <w:szCs w:val="20"/>
          <w:u w:val="single"/>
        </w:rPr>
        <w:t xml:space="preserve">Akoestisch </w:t>
      </w:r>
      <w:proofErr w:type="gramStart"/>
      <w:r w:rsidR="00421FB9" w:rsidRPr="00421FB9">
        <w:rPr>
          <w:rFonts w:cstheme="minorHAnsi"/>
          <w:b/>
          <w:sz w:val="20"/>
          <w:szCs w:val="20"/>
          <w:u w:val="single"/>
        </w:rPr>
        <w:t>tussenschot</w:t>
      </w:r>
      <w:r w:rsidRPr="00421FB9">
        <w:rPr>
          <w:rStyle w:val="MeetChar"/>
          <w:rFonts w:cstheme="minorHAnsi"/>
          <w:b/>
          <w:color w:val="auto"/>
          <w:sz w:val="20"/>
          <w:szCs w:val="20"/>
          <w:u w:val="single"/>
        </w:rPr>
        <w:t xml:space="preserve">  FH</w:t>
      </w:r>
      <w:proofErr w:type="gramEnd"/>
      <w:r w:rsidRPr="00421FB9">
        <w:rPr>
          <w:rStyle w:val="MeetChar"/>
          <w:rFonts w:cstheme="minorHAnsi"/>
          <w:b/>
          <w:color w:val="auto"/>
          <w:sz w:val="20"/>
          <w:szCs w:val="20"/>
          <w:u w:val="single"/>
        </w:rPr>
        <w:t xml:space="preserve">  m²</w:t>
      </w:r>
      <w:r w:rsidRPr="00421FB9">
        <w:rPr>
          <w:rStyle w:val="RevisieDatum"/>
          <w:rFonts w:cstheme="minorHAnsi"/>
          <w:b/>
          <w:sz w:val="20"/>
          <w:szCs w:val="20"/>
          <w:u w:val="single"/>
        </w:rPr>
        <w:t xml:space="preserve"> </w:t>
      </w:r>
      <w:r w:rsidRPr="00421FB9">
        <w:rPr>
          <w:rStyle w:val="Referentie"/>
          <w:rFonts w:cstheme="minorHAnsi"/>
          <w:b/>
          <w:color w:val="auto"/>
          <w:sz w:val="20"/>
          <w:szCs w:val="20"/>
          <w:u w:val="single"/>
        </w:rPr>
        <w:t xml:space="preserve"> </w:t>
      </w:r>
      <w:r w:rsidR="00140660" w:rsidRPr="00421FB9">
        <w:rPr>
          <w:rFonts w:cstheme="minorHAnsi"/>
          <w:b/>
          <w:noProof/>
          <w:sz w:val="20"/>
          <w:szCs w:val="20"/>
          <w:u w:val="single"/>
        </w:rPr>
        <w:t>Rockfon® Canva™ Floor Screen</w:t>
      </w:r>
    </w:p>
    <w:p w14:paraId="61D1D254" w14:textId="14304BF6" w:rsidR="001A2C08" w:rsidRPr="0099323F" w:rsidRDefault="00421FB9" w:rsidP="001A2C08">
      <w:pPr>
        <w:spacing w:after="0" w:line="240" w:lineRule="auto"/>
        <w:rPr>
          <w:rFonts w:cstheme="minorHAnsi"/>
          <w:sz w:val="20"/>
          <w:szCs w:val="20"/>
          <w:lang w:val="nl-NL"/>
        </w:rPr>
      </w:pPr>
      <w:proofErr w:type="spellStart"/>
      <w:r w:rsidRPr="00421FB9">
        <w:rPr>
          <w:rFonts w:cstheme="minorHAnsi"/>
          <w:sz w:val="20"/>
          <w:szCs w:val="20"/>
          <w:u w:val="single"/>
          <w:lang w:val="nl-NL"/>
        </w:rPr>
        <w:t>V</w:t>
      </w:r>
      <w:r w:rsidR="001A2C08" w:rsidRPr="00421FB9">
        <w:rPr>
          <w:rFonts w:cstheme="minorHAnsi"/>
          <w:sz w:val="20"/>
          <w:szCs w:val="20"/>
          <w:u w:val="single"/>
          <w:lang w:val="nl-NL"/>
        </w:rPr>
        <w:t>olgnr</w:t>
      </w:r>
      <w:proofErr w:type="spellEnd"/>
      <w:r w:rsidR="001A2C08" w:rsidRPr="00421FB9">
        <w:rPr>
          <w:rFonts w:cstheme="minorHAnsi"/>
          <w:sz w:val="20"/>
          <w:szCs w:val="20"/>
          <w:u w:val="single"/>
          <w:lang w:val="nl-NL"/>
        </w:rPr>
        <w:t>.</w:t>
      </w:r>
      <w:r w:rsidR="001A2C08" w:rsidRPr="0099323F">
        <w:rPr>
          <w:rFonts w:cstheme="minorHAnsi"/>
          <w:sz w:val="20"/>
          <w:szCs w:val="20"/>
          <w:lang w:val="nl-NL"/>
        </w:rPr>
        <w:t xml:space="preserve">  </w:t>
      </w:r>
      <w:r w:rsidR="001A2C08" w:rsidRPr="0099323F">
        <w:rPr>
          <w:rFonts w:cstheme="minorHAnsi"/>
          <w:noProof/>
          <w:sz w:val="20"/>
          <w:szCs w:val="20"/>
          <w:lang w:val="nl-NL"/>
        </w:rPr>
        <w:t>1</w:t>
      </w:r>
      <w:r w:rsidR="004C750B">
        <w:rPr>
          <w:rFonts w:cstheme="minorHAnsi"/>
          <w:noProof/>
          <w:sz w:val="20"/>
          <w:szCs w:val="20"/>
          <w:lang w:val="nl-NL"/>
        </w:rPr>
        <w:t>.00</w:t>
      </w:r>
    </w:p>
    <w:p w14:paraId="497EB94E" w14:textId="77777777" w:rsidR="001A2C08" w:rsidRPr="0099323F" w:rsidRDefault="001A2C08" w:rsidP="001A2C08">
      <w:pPr>
        <w:spacing w:after="0" w:line="240" w:lineRule="auto"/>
        <w:rPr>
          <w:rFonts w:cstheme="minorHAnsi"/>
          <w:sz w:val="20"/>
          <w:szCs w:val="20"/>
          <w:lang w:val="nl-NL"/>
        </w:rPr>
      </w:pPr>
    </w:p>
    <w:p w14:paraId="1D97C88B" w14:textId="77777777" w:rsidR="001A2C08" w:rsidRPr="0099323F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  <w:lang w:val="nl-NL"/>
        </w:rPr>
      </w:pPr>
      <w:r w:rsidRPr="0099323F">
        <w:rPr>
          <w:rFonts w:cstheme="minorHAnsi"/>
          <w:b/>
          <w:noProof/>
          <w:sz w:val="20"/>
          <w:szCs w:val="20"/>
          <w:u w:val="single"/>
          <w:lang w:val="nl-NL"/>
        </w:rPr>
        <w:t>Omschrijving:</w:t>
      </w:r>
    </w:p>
    <w:p w14:paraId="097641AA" w14:textId="7D5263FA" w:rsidR="00F84F50" w:rsidRPr="0099323F" w:rsidRDefault="00F84F50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A</w:t>
      </w:r>
      <w:r w:rsidR="001A2C08" w:rsidRPr="0099323F">
        <w:rPr>
          <w:rFonts w:cstheme="minorHAnsi"/>
          <w:noProof/>
          <w:sz w:val="20"/>
          <w:szCs w:val="20"/>
          <w:lang w:val="nl-NL"/>
        </w:rPr>
        <w:t xml:space="preserve">koestisch </w:t>
      </w:r>
      <w:r w:rsidR="00140660">
        <w:rPr>
          <w:rFonts w:cstheme="minorHAnsi"/>
          <w:noProof/>
          <w:sz w:val="20"/>
          <w:szCs w:val="20"/>
          <w:lang w:val="nl-NL"/>
        </w:rPr>
        <w:t xml:space="preserve">flexibel verplaatsbaar </w:t>
      </w:r>
      <w:r w:rsidR="00421FB9">
        <w:rPr>
          <w:rFonts w:cstheme="minorHAnsi"/>
          <w:noProof/>
          <w:sz w:val="20"/>
          <w:szCs w:val="20"/>
          <w:lang w:val="nl-NL"/>
        </w:rPr>
        <w:t>tussenschot</w:t>
      </w:r>
      <w:r w:rsidR="001A2C08" w:rsidRPr="0099323F">
        <w:rPr>
          <w:rFonts w:cstheme="minorHAnsi"/>
          <w:noProof/>
          <w:sz w:val="20"/>
          <w:szCs w:val="20"/>
          <w:lang w:val="nl-NL"/>
        </w:rPr>
        <w:t xml:space="preserve"> bestaande uit een 40 mm </w:t>
      </w:r>
      <w:r w:rsidR="000D3687" w:rsidRPr="0099323F">
        <w:rPr>
          <w:rFonts w:cstheme="minorHAnsi"/>
          <w:noProof/>
          <w:sz w:val="20"/>
          <w:szCs w:val="20"/>
          <w:lang w:val="nl-NL"/>
        </w:rPr>
        <w:t xml:space="preserve">geluidabsorberende </w:t>
      </w:r>
      <w:r w:rsidR="001A2C08" w:rsidRPr="0099323F">
        <w:rPr>
          <w:rFonts w:cstheme="minorHAnsi"/>
          <w:noProof/>
          <w:sz w:val="20"/>
          <w:szCs w:val="20"/>
          <w:lang w:val="nl-NL"/>
        </w:rPr>
        <w:t>plaat</w:t>
      </w:r>
      <w:r w:rsidR="001A2C08" w:rsidRPr="0099323F">
        <w:rPr>
          <w:rFonts w:cstheme="minorHAnsi"/>
          <w:sz w:val="20"/>
          <w:szCs w:val="20"/>
          <w:lang w:val="nl-NL"/>
        </w:rPr>
        <w:t xml:space="preserve"> </w:t>
      </w:r>
      <w:r w:rsidR="001A2C08" w:rsidRPr="0099323F">
        <w:rPr>
          <w:rFonts w:cstheme="minorHAnsi"/>
          <w:noProof/>
          <w:sz w:val="20"/>
          <w:szCs w:val="20"/>
          <w:lang w:val="nl-NL"/>
        </w:rPr>
        <w:t>op basis van onbrandbare en kiemvrije rotswol (geclassificeerd conform EU-richtlijn 97/69 noot Q)</w:t>
      </w:r>
      <w:r w:rsidRPr="0099323F">
        <w:rPr>
          <w:rFonts w:cstheme="minorHAnsi"/>
          <w:noProof/>
          <w:sz w:val="20"/>
          <w:szCs w:val="20"/>
          <w:lang w:val="nl-NL"/>
        </w:rPr>
        <w:t xml:space="preserve"> </w:t>
      </w:r>
      <w:r w:rsidR="00A146FC" w:rsidRPr="0099323F">
        <w:rPr>
          <w:rFonts w:cstheme="minorHAnsi"/>
          <w:noProof/>
          <w:sz w:val="20"/>
          <w:szCs w:val="20"/>
          <w:lang w:val="nl-NL"/>
        </w:rPr>
        <w:t xml:space="preserve">bevestigd </w:t>
      </w:r>
      <w:r w:rsidR="00140660">
        <w:rPr>
          <w:rFonts w:cstheme="minorHAnsi"/>
          <w:noProof/>
          <w:sz w:val="20"/>
          <w:szCs w:val="20"/>
          <w:lang w:val="nl-NL"/>
        </w:rPr>
        <w:t>tussen</w:t>
      </w:r>
      <w:r w:rsidR="00A146FC" w:rsidRPr="0099323F">
        <w:rPr>
          <w:rFonts w:cstheme="minorHAnsi"/>
          <w:noProof/>
          <w:sz w:val="20"/>
          <w:szCs w:val="20"/>
          <w:lang w:val="nl-NL"/>
        </w:rPr>
        <w:t xml:space="preserve"> een 61 mm dik gepoedercoat mat aluminium frame</w:t>
      </w:r>
      <w:r w:rsidR="000153E6">
        <w:rPr>
          <w:rFonts w:cstheme="minorHAnsi"/>
          <w:noProof/>
          <w:sz w:val="20"/>
          <w:szCs w:val="20"/>
          <w:lang w:val="nl-NL"/>
        </w:rPr>
        <w:t xml:space="preserve">, wit of zwart, </w:t>
      </w:r>
      <w:r w:rsidR="00A146FC" w:rsidRPr="0099323F">
        <w:rPr>
          <w:rFonts w:cstheme="minorHAnsi"/>
          <w:noProof/>
          <w:sz w:val="20"/>
          <w:szCs w:val="20"/>
          <w:lang w:val="nl-NL"/>
        </w:rPr>
        <w:t xml:space="preserve">en aan de zichtzijde afgewerkt met een bedrukt canvas op polyesterbasis (keuze uit 34 kleuren </w:t>
      </w:r>
      <w:r w:rsidR="00140660">
        <w:rPr>
          <w:rFonts w:cstheme="minorHAnsi"/>
          <w:noProof/>
          <w:sz w:val="20"/>
          <w:szCs w:val="20"/>
          <w:lang w:val="nl-NL"/>
        </w:rPr>
        <w:t xml:space="preserve">uit </w:t>
      </w:r>
      <w:r w:rsidR="00421FB9">
        <w:rPr>
          <w:rFonts w:cstheme="minorHAnsi"/>
          <w:noProof/>
          <w:sz w:val="20"/>
          <w:szCs w:val="20"/>
          <w:lang w:val="nl-NL"/>
        </w:rPr>
        <w:t xml:space="preserve">de </w:t>
      </w:r>
      <w:r w:rsidR="00140660">
        <w:rPr>
          <w:rFonts w:cstheme="minorHAnsi"/>
          <w:noProof/>
          <w:sz w:val="20"/>
          <w:szCs w:val="20"/>
          <w:lang w:val="nl-NL"/>
        </w:rPr>
        <w:t>Colour</w:t>
      </w:r>
      <w:r w:rsidR="00421FB9">
        <w:rPr>
          <w:rFonts w:cstheme="minorHAnsi"/>
          <w:noProof/>
          <w:sz w:val="20"/>
          <w:szCs w:val="20"/>
          <w:lang w:val="nl-NL"/>
        </w:rPr>
        <w:t>s</w:t>
      </w:r>
      <w:r w:rsidR="00140660">
        <w:rPr>
          <w:rFonts w:cstheme="minorHAnsi"/>
          <w:noProof/>
          <w:sz w:val="20"/>
          <w:szCs w:val="20"/>
          <w:lang w:val="nl-NL"/>
        </w:rPr>
        <w:t xml:space="preserve"> of Wellbeing </w:t>
      </w:r>
      <w:r w:rsidR="00421FB9">
        <w:rPr>
          <w:rFonts w:cstheme="minorHAnsi"/>
          <w:noProof/>
          <w:sz w:val="20"/>
          <w:szCs w:val="20"/>
          <w:lang w:val="nl-NL"/>
        </w:rPr>
        <w:t xml:space="preserve">range </w:t>
      </w:r>
      <w:r w:rsidR="00A146FC" w:rsidRPr="0099323F">
        <w:rPr>
          <w:rFonts w:cstheme="minorHAnsi"/>
          <w:noProof/>
          <w:sz w:val="20"/>
          <w:szCs w:val="20"/>
          <w:lang w:val="nl-NL"/>
        </w:rPr>
        <w:t>of ontwerp uw eigen grafische lay-out).   Het canvas is uitneembaar, wasbaar en verwisselbaar.</w:t>
      </w:r>
    </w:p>
    <w:p w14:paraId="72EB6079" w14:textId="77777777" w:rsidR="00A146FC" w:rsidRPr="0099323F" w:rsidRDefault="00A146FC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</w:p>
    <w:p w14:paraId="6AC488D7" w14:textId="6C387E52" w:rsidR="001A2C08" w:rsidRPr="0099323F" w:rsidRDefault="00421FB9" w:rsidP="00140660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sz w:val="20"/>
          <w:szCs w:val="20"/>
          <w:lang w:val="nl-NL"/>
        </w:rPr>
      </w:pPr>
      <w:r>
        <w:rPr>
          <w:rFonts w:cstheme="minorHAnsi"/>
          <w:noProof/>
          <w:sz w:val="20"/>
          <w:szCs w:val="20"/>
          <w:lang w:val="nl-NL"/>
        </w:rPr>
        <w:t>De p</w:t>
      </w:r>
      <w:r w:rsidR="00140660" w:rsidRPr="00140660">
        <w:rPr>
          <w:rFonts w:cstheme="minorHAnsi"/>
          <w:noProof/>
          <w:sz w:val="20"/>
          <w:szCs w:val="20"/>
          <w:lang w:val="nl-NL"/>
        </w:rPr>
        <w:t>anelen worden vrijwel volledig gemonteerd geleverd, dus montage is snel en eenvoudig</w:t>
      </w:r>
      <w:r w:rsidR="00A146FC" w:rsidRPr="0099323F">
        <w:rPr>
          <w:rFonts w:cstheme="minorHAnsi"/>
          <w:noProof/>
          <w:sz w:val="20"/>
          <w:szCs w:val="20"/>
          <w:lang w:val="nl-NL"/>
        </w:rPr>
        <w:t>.  De</w:t>
      </w:r>
      <w:r w:rsidR="00140660" w:rsidRPr="00140660">
        <w:rPr>
          <w:rFonts w:cstheme="minorHAnsi"/>
          <w:noProof/>
          <w:sz w:val="20"/>
          <w:szCs w:val="20"/>
          <w:lang w:val="nl-NL"/>
        </w:rPr>
        <w:t xml:space="preserve"> Canva™ Floor Screen </w:t>
      </w:r>
      <w:r w:rsidR="00140660">
        <w:rPr>
          <w:rFonts w:cstheme="minorHAnsi"/>
          <w:noProof/>
          <w:sz w:val="20"/>
          <w:szCs w:val="20"/>
          <w:lang w:val="nl-NL"/>
        </w:rPr>
        <w:t xml:space="preserve">is leverbaar met 3 verschillende onderstellen: </w:t>
      </w:r>
      <w:r w:rsidR="00140660" w:rsidRPr="00140660">
        <w:rPr>
          <w:rFonts w:cstheme="minorHAnsi"/>
          <w:noProof/>
          <w:sz w:val="20"/>
          <w:szCs w:val="20"/>
          <w:lang w:val="nl-NL"/>
        </w:rPr>
        <w:t xml:space="preserve">vlak, verhoogd </w:t>
      </w:r>
      <w:r>
        <w:rPr>
          <w:rFonts w:cstheme="minorHAnsi"/>
          <w:noProof/>
          <w:sz w:val="20"/>
          <w:szCs w:val="20"/>
          <w:lang w:val="nl-NL"/>
        </w:rPr>
        <w:t>of</w:t>
      </w:r>
      <w:r w:rsidR="00140660" w:rsidRPr="00140660">
        <w:rPr>
          <w:rFonts w:cstheme="minorHAnsi"/>
          <w:noProof/>
          <w:sz w:val="20"/>
          <w:szCs w:val="20"/>
          <w:lang w:val="nl-NL"/>
        </w:rPr>
        <w:t xml:space="preserve"> met wieltjes</w:t>
      </w:r>
      <w:r w:rsidR="00140660">
        <w:rPr>
          <w:rFonts w:cstheme="minorHAnsi"/>
          <w:noProof/>
          <w:sz w:val="20"/>
          <w:szCs w:val="20"/>
          <w:lang w:val="nl-NL"/>
        </w:rPr>
        <w:t>.</w:t>
      </w:r>
    </w:p>
    <w:p w14:paraId="10C280D7" w14:textId="77777777" w:rsidR="001A2C08" w:rsidRPr="0099323F" w:rsidRDefault="001A2C08" w:rsidP="001A2C08">
      <w:pPr>
        <w:spacing w:after="0" w:line="240" w:lineRule="auto"/>
        <w:rPr>
          <w:sz w:val="20"/>
          <w:szCs w:val="20"/>
          <w:lang w:val="nl-NL"/>
        </w:rPr>
      </w:pPr>
    </w:p>
    <w:p w14:paraId="10D57EC4" w14:textId="6A8DC36D" w:rsidR="001A2C08" w:rsidRPr="0099323F" w:rsidRDefault="001A2C08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nl-NL"/>
        </w:rPr>
      </w:pPr>
      <w:r w:rsidRPr="0099323F">
        <w:rPr>
          <w:rFonts w:cstheme="minorHAnsi"/>
          <w:b/>
          <w:bCs/>
          <w:noProof/>
          <w:sz w:val="20"/>
          <w:szCs w:val="20"/>
          <w:u w:val="single"/>
          <w:lang w:val="nl-NL"/>
        </w:rPr>
        <w:t>Materiaal:</w:t>
      </w:r>
    </w:p>
    <w:p w14:paraId="4CE9B552" w14:textId="4F219460" w:rsidR="00A146FC" w:rsidRPr="0099323F" w:rsidRDefault="00A146FC" w:rsidP="001A2C08">
      <w:pPr>
        <w:spacing w:after="0" w:line="240" w:lineRule="auto"/>
        <w:rPr>
          <w:rFonts w:cstheme="minorHAnsi"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Afmetingen (breedte x hoogte x diepte) (mm) en gewicht (kg/paneel):</w:t>
      </w:r>
    </w:p>
    <w:p w14:paraId="7873E9E4" w14:textId="26C8D22D" w:rsidR="00A146FC" w:rsidRPr="0099323F" w:rsidRDefault="00140660" w:rsidP="00A146FC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  <w:r>
        <w:rPr>
          <w:rFonts w:cstheme="minorHAnsi"/>
          <w:noProof/>
          <w:sz w:val="20"/>
          <w:szCs w:val="20"/>
          <w:lang w:val="en-GB"/>
        </w:rPr>
        <w:t>1000</w:t>
      </w:r>
      <w:r w:rsidR="00A146FC" w:rsidRPr="0099323F">
        <w:rPr>
          <w:rFonts w:cstheme="minorHAnsi"/>
          <w:noProof/>
          <w:sz w:val="20"/>
          <w:szCs w:val="20"/>
          <w:lang w:val="en-GB"/>
        </w:rPr>
        <w:t xml:space="preserve"> x </w:t>
      </w:r>
      <w:r>
        <w:rPr>
          <w:rFonts w:cstheme="minorHAnsi"/>
          <w:noProof/>
          <w:sz w:val="20"/>
          <w:szCs w:val="20"/>
          <w:lang w:val="en-GB"/>
        </w:rPr>
        <w:t>1300</w:t>
      </w:r>
      <w:r w:rsidR="00A146FC" w:rsidRPr="0099323F">
        <w:rPr>
          <w:rFonts w:cstheme="minorHAnsi"/>
          <w:noProof/>
          <w:sz w:val="20"/>
          <w:szCs w:val="20"/>
          <w:lang w:val="en-GB"/>
        </w:rPr>
        <w:t xml:space="preserve"> x 61 mm (</w:t>
      </w:r>
      <w:r w:rsidR="00866A25">
        <w:rPr>
          <w:rFonts w:cstheme="minorHAnsi"/>
          <w:noProof/>
          <w:sz w:val="20"/>
          <w:szCs w:val="20"/>
          <w:lang w:val="en-GB"/>
        </w:rPr>
        <w:t>10</w:t>
      </w:r>
      <w:r w:rsidR="00A146FC" w:rsidRPr="0099323F">
        <w:rPr>
          <w:rFonts w:cstheme="minorHAnsi"/>
          <w:noProof/>
          <w:sz w:val="20"/>
          <w:szCs w:val="20"/>
          <w:lang w:val="en-GB"/>
        </w:rPr>
        <w:t>,0 kg/paneel)</w:t>
      </w:r>
    </w:p>
    <w:p w14:paraId="11E0BCC7" w14:textId="052577C2" w:rsidR="00A146FC" w:rsidRPr="0099323F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  <w:r w:rsidRPr="0099323F">
        <w:rPr>
          <w:rFonts w:cstheme="minorHAnsi"/>
          <w:noProof/>
          <w:sz w:val="20"/>
          <w:szCs w:val="20"/>
          <w:lang w:val="en-GB"/>
        </w:rPr>
        <w:t xml:space="preserve">1200 x </w:t>
      </w:r>
      <w:r w:rsidR="00866A25">
        <w:rPr>
          <w:rFonts w:cstheme="minorHAnsi"/>
          <w:noProof/>
          <w:sz w:val="20"/>
          <w:szCs w:val="20"/>
          <w:lang w:val="en-GB"/>
        </w:rPr>
        <w:t>18</w:t>
      </w:r>
      <w:r w:rsidRPr="0099323F">
        <w:rPr>
          <w:rFonts w:cstheme="minorHAnsi"/>
          <w:noProof/>
          <w:sz w:val="20"/>
          <w:szCs w:val="20"/>
          <w:lang w:val="en-GB"/>
        </w:rPr>
        <w:t>00 x 61 mm (</w:t>
      </w:r>
      <w:r w:rsidR="00866A25">
        <w:rPr>
          <w:rFonts w:cstheme="minorHAnsi"/>
          <w:noProof/>
          <w:sz w:val="20"/>
          <w:szCs w:val="20"/>
          <w:lang w:val="en-GB"/>
        </w:rPr>
        <w:t>15,0</w:t>
      </w:r>
      <w:r w:rsidRPr="0099323F">
        <w:rPr>
          <w:rFonts w:cstheme="minorHAnsi"/>
          <w:noProof/>
          <w:sz w:val="20"/>
          <w:szCs w:val="20"/>
          <w:lang w:val="en-GB"/>
        </w:rPr>
        <w:t xml:space="preserve"> kg/paneel)</w:t>
      </w:r>
    </w:p>
    <w:p w14:paraId="75B6D5F6" w14:textId="70718216" w:rsidR="00A146FC" w:rsidRPr="0099323F" w:rsidRDefault="00866A25" w:rsidP="00A146FC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  <w:r>
        <w:rPr>
          <w:rFonts w:cstheme="minorHAnsi"/>
          <w:noProof/>
          <w:sz w:val="20"/>
          <w:szCs w:val="20"/>
          <w:lang w:val="en-GB"/>
        </w:rPr>
        <w:t>17</w:t>
      </w:r>
      <w:r w:rsidR="00A146FC" w:rsidRPr="0099323F">
        <w:rPr>
          <w:rFonts w:cstheme="minorHAnsi"/>
          <w:noProof/>
          <w:sz w:val="20"/>
          <w:szCs w:val="20"/>
          <w:lang w:val="en-GB"/>
        </w:rPr>
        <w:t>00 x 1</w:t>
      </w:r>
      <w:r>
        <w:rPr>
          <w:rFonts w:cstheme="minorHAnsi"/>
          <w:noProof/>
          <w:sz w:val="20"/>
          <w:szCs w:val="20"/>
          <w:lang w:val="en-GB"/>
        </w:rPr>
        <w:t>3</w:t>
      </w:r>
      <w:r w:rsidR="00A146FC" w:rsidRPr="0099323F">
        <w:rPr>
          <w:rFonts w:cstheme="minorHAnsi"/>
          <w:noProof/>
          <w:sz w:val="20"/>
          <w:szCs w:val="20"/>
          <w:lang w:val="en-GB"/>
        </w:rPr>
        <w:t>00 x 61 mm  (1</w:t>
      </w:r>
      <w:r>
        <w:rPr>
          <w:rFonts w:cstheme="minorHAnsi"/>
          <w:noProof/>
          <w:sz w:val="20"/>
          <w:szCs w:val="20"/>
          <w:lang w:val="en-GB"/>
        </w:rPr>
        <w:t>7</w:t>
      </w:r>
      <w:r w:rsidR="00A146FC" w:rsidRPr="0099323F">
        <w:rPr>
          <w:rFonts w:cstheme="minorHAnsi"/>
          <w:noProof/>
          <w:sz w:val="20"/>
          <w:szCs w:val="20"/>
          <w:lang w:val="en-GB"/>
        </w:rPr>
        <w:t>,0 kg/paneel)</w:t>
      </w:r>
    </w:p>
    <w:p w14:paraId="0602F1A6" w14:textId="39FD1BFC" w:rsidR="00A146FC" w:rsidRPr="0099323F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</w:p>
    <w:p w14:paraId="3E27729B" w14:textId="416DFB6C" w:rsidR="00A146FC" w:rsidRPr="00421FB9" w:rsidRDefault="00A146FC" w:rsidP="00A146FC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nl-NL"/>
        </w:rPr>
      </w:pPr>
      <w:r w:rsidRPr="00421FB9">
        <w:rPr>
          <w:rFonts w:cstheme="minorHAnsi"/>
          <w:b/>
          <w:bCs/>
          <w:noProof/>
          <w:sz w:val="20"/>
          <w:szCs w:val="20"/>
          <w:u w:val="single"/>
          <w:lang w:val="nl-NL"/>
        </w:rPr>
        <w:t>Afwijkende afmetingen op aanvraag:</w:t>
      </w:r>
    </w:p>
    <w:p w14:paraId="2E90E6D0" w14:textId="77777777" w:rsidR="00866A25" w:rsidRPr="00866A25" w:rsidRDefault="00866A25" w:rsidP="00866A25">
      <w:pPr>
        <w:spacing w:after="0" w:line="240" w:lineRule="auto"/>
        <w:rPr>
          <w:rFonts w:cstheme="minorHAnsi"/>
          <w:noProof/>
          <w:sz w:val="20"/>
          <w:szCs w:val="20"/>
          <w:lang w:val="x-none"/>
        </w:rPr>
      </w:pPr>
      <w:r w:rsidRPr="00866A25">
        <w:rPr>
          <w:rFonts w:cstheme="minorHAnsi"/>
          <w:noProof/>
          <w:sz w:val="20"/>
          <w:szCs w:val="20"/>
          <w:lang w:val="x-none"/>
        </w:rPr>
        <w:t xml:space="preserve">Minimale afmeting (B x H ): 800 x 1000 mm </w:t>
      </w:r>
    </w:p>
    <w:p w14:paraId="0B409A4C" w14:textId="07F379A1" w:rsidR="000D3687" w:rsidRPr="0099323F" w:rsidRDefault="00866A25" w:rsidP="00866A25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866A25">
        <w:rPr>
          <w:rFonts w:cstheme="minorHAnsi"/>
          <w:noProof/>
          <w:sz w:val="20"/>
          <w:szCs w:val="20"/>
          <w:lang w:val="x-none"/>
        </w:rPr>
        <w:t>Maximale afmeting: (B x H): 2400 x 2000 mm</w:t>
      </w:r>
    </w:p>
    <w:p w14:paraId="74D33515" w14:textId="77777777" w:rsidR="000D3687" w:rsidRPr="0099323F" w:rsidRDefault="000D3687" w:rsidP="000D3687">
      <w:pPr>
        <w:spacing w:after="0" w:line="240" w:lineRule="auto"/>
        <w:rPr>
          <w:rFonts w:cstheme="minorHAnsi"/>
          <w:sz w:val="20"/>
          <w:szCs w:val="20"/>
          <w:lang w:val="nl-NL"/>
        </w:rPr>
      </w:pPr>
    </w:p>
    <w:p w14:paraId="52F98015" w14:textId="4E52FBE9" w:rsidR="001A2C08" w:rsidRPr="00421FB9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nl-NL"/>
        </w:rPr>
      </w:pPr>
      <w:r w:rsidRPr="00421FB9">
        <w:rPr>
          <w:rFonts w:cstheme="minorHAnsi"/>
          <w:b/>
          <w:bCs/>
          <w:noProof/>
          <w:sz w:val="20"/>
          <w:szCs w:val="20"/>
          <w:u w:val="single"/>
          <w:lang w:val="nl-NL"/>
        </w:rPr>
        <w:t>CE-certificering</w:t>
      </w:r>
      <w:r w:rsidR="00421FB9" w:rsidRPr="00421FB9">
        <w:rPr>
          <w:rFonts w:cstheme="minorHAnsi"/>
          <w:b/>
          <w:bCs/>
          <w:noProof/>
          <w:sz w:val="20"/>
          <w:szCs w:val="20"/>
          <w:u w:val="single"/>
          <w:lang w:val="nl-NL"/>
        </w:rPr>
        <w:t>:</w:t>
      </w:r>
    </w:p>
    <w:p w14:paraId="48B38AB5" w14:textId="77777777" w:rsidR="001A2C08" w:rsidRPr="0099323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De wandpanelen zijn CE gemarkeerd volgens de hoogste klasse voor certificering, zijnde CE-niveau  1 (A0C).  De volgende parameters dienen verplicht op de productetikettering te worden vermeld:</w:t>
      </w:r>
    </w:p>
    <w:p w14:paraId="2ADD1CDE" w14:textId="77777777" w:rsidR="001A2C08" w:rsidRPr="0099323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‐ geluidsabsorptie: gemiddelde geluidsabsorptiecoëfficiënt alfa-w</w:t>
      </w:r>
    </w:p>
    <w:p w14:paraId="7FA945B0" w14:textId="77777777" w:rsidR="001A2C08" w:rsidRPr="0099323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‐ reactie bij brand: Europese brandklasse</w:t>
      </w:r>
    </w:p>
    <w:p w14:paraId="1BE3775D" w14:textId="77777777" w:rsidR="001A2C08" w:rsidRPr="0099323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‐ vochtbestendigheid en vormvastheid: een maat voor de vormvastheid van wandpanelen onder bepaalde vochtigheids-en temperatuurcondities.</w:t>
      </w:r>
    </w:p>
    <w:p w14:paraId="031769FE" w14:textId="77777777" w:rsidR="001C368F" w:rsidRPr="0099323F" w:rsidRDefault="001C368F" w:rsidP="001A2C08">
      <w:pPr>
        <w:spacing w:after="0" w:line="240" w:lineRule="auto"/>
        <w:rPr>
          <w:rFonts w:cstheme="minorHAnsi"/>
          <w:sz w:val="20"/>
          <w:szCs w:val="20"/>
          <w:lang w:val="nl-NL"/>
        </w:rPr>
      </w:pPr>
    </w:p>
    <w:p w14:paraId="54E43265" w14:textId="6096F7AE" w:rsidR="001A2C08" w:rsidRPr="00421FB9" w:rsidRDefault="001A2C08" w:rsidP="001A2C08">
      <w:pPr>
        <w:keepNext/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nl-NL"/>
        </w:rPr>
      </w:pPr>
      <w:r w:rsidRPr="00421FB9">
        <w:rPr>
          <w:rFonts w:cstheme="minorHAnsi"/>
          <w:b/>
          <w:bCs/>
          <w:noProof/>
          <w:sz w:val="20"/>
          <w:szCs w:val="20"/>
          <w:u w:val="single"/>
          <w:lang w:val="nl-NL"/>
        </w:rPr>
        <w:t>Geluidabsorptie</w:t>
      </w:r>
      <w:r w:rsidR="00421FB9" w:rsidRPr="00421FB9">
        <w:rPr>
          <w:rFonts w:cstheme="minorHAnsi"/>
          <w:b/>
          <w:bCs/>
          <w:noProof/>
          <w:sz w:val="20"/>
          <w:szCs w:val="20"/>
          <w:u w:val="single"/>
          <w:lang w:val="nl-NL"/>
        </w:rPr>
        <w:t>:</w:t>
      </w:r>
    </w:p>
    <w:p w14:paraId="516E38E3" w14:textId="77777777" w:rsidR="001A2C08" w:rsidRPr="0099323F" w:rsidRDefault="001A2C08" w:rsidP="001A2C08">
      <w:pPr>
        <w:keepNext/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De productgroep dient te zijn getest volgens EN ISO 354 en te zijn geclassificeerd volgens EN ISO 11654.  De CE-etiketten vermelden een Aeq (m²/element) binnen een gedefinieerd frequentiegebied (250-4000 Hz).</w:t>
      </w:r>
    </w:p>
    <w:p w14:paraId="0C894166" w14:textId="0ACEDAD4" w:rsidR="001A2C08" w:rsidRPr="0099323F" w:rsidRDefault="001A2C08" w:rsidP="001A2C08">
      <w:pPr>
        <w:keepNext/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 xml:space="preserve">Deze waarde dient vermeld te zijn op het CE-gemarkeerde etiket van zowel </w:t>
      </w:r>
      <w:r w:rsidR="000153E6">
        <w:rPr>
          <w:rFonts w:cstheme="minorHAnsi"/>
          <w:noProof/>
          <w:sz w:val="20"/>
          <w:szCs w:val="20"/>
          <w:lang w:val="nl-NL"/>
        </w:rPr>
        <w:t>vloer</w:t>
      </w:r>
      <w:r w:rsidRPr="0099323F">
        <w:rPr>
          <w:rFonts w:cstheme="minorHAnsi"/>
          <w:noProof/>
          <w:sz w:val="20"/>
          <w:szCs w:val="20"/>
          <w:lang w:val="nl-NL"/>
        </w:rPr>
        <w:t xml:space="preserve">panelen als voor te leggen monstermateriaal. </w:t>
      </w:r>
    </w:p>
    <w:p w14:paraId="089E8CDF" w14:textId="3449E12F" w:rsidR="001A2C08" w:rsidRDefault="001A2C08" w:rsidP="001A2C08">
      <w:pPr>
        <w:keepNext/>
        <w:spacing w:after="0" w:line="240" w:lineRule="auto"/>
        <w:rPr>
          <w:rFonts w:cstheme="minorHAnsi"/>
          <w:sz w:val="20"/>
          <w:szCs w:val="20"/>
          <w:lang w:val="nl-NL"/>
        </w:rPr>
      </w:pPr>
      <w:bookmarkStart w:id="0" w:name="_Hlk129115293"/>
    </w:p>
    <w:p w14:paraId="11508C7D" w14:textId="77777777" w:rsidR="001C368F" w:rsidRPr="0099323F" w:rsidRDefault="001C368F" w:rsidP="001A2C08">
      <w:pPr>
        <w:keepNext/>
        <w:spacing w:after="0" w:line="240" w:lineRule="auto"/>
        <w:rPr>
          <w:rFonts w:cstheme="minorHAnsi"/>
          <w:sz w:val="20"/>
          <w:szCs w:val="20"/>
          <w:lang w:val="nl-NL"/>
        </w:rPr>
      </w:pPr>
    </w:p>
    <w:tbl>
      <w:tblPr>
        <w:tblStyle w:val="Tabelraster"/>
        <w:tblW w:w="8217" w:type="dxa"/>
        <w:tblLayout w:type="fixed"/>
        <w:tblLook w:val="04A0" w:firstRow="1" w:lastRow="0" w:firstColumn="1" w:lastColumn="0" w:noHBand="0" w:noVBand="1"/>
      </w:tblPr>
      <w:tblGrid>
        <w:gridCol w:w="2689"/>
        <w:gridCol w:w="850"/>
        <w:gridCol w:w="851"/>
        <w:gridCol w:w="850"/>
        <w:gridCol w:w="992"/>
        <w:gridCol w:w="993"/>
        <w:gridCol w:w="992"/>
      </w:tblGrid>
      <w:tr w:rsidR="000153E6" w:rsidRPr="000153E6" w14:paraId="6E485F1F" w14:textId="5C598440" w:rsidTr="00573351">
        <w:trPr>
          <w:cantSplit/>
        </w:trPr>
        <w:tc>
          <w:tcPr>
            <w:tcW w:w="2689" w:type="dxa"/>
            <w:tcBorders>
              <w:bottom w:val="single" w:sz="4" w:space="0" w:color="auto"/>
            </w:tcBorders>
          </w:tcPr>
          <w:p w14:paraId="458EFDEF" w14:textId="78371798" w:rsidR="00866A25" w:rsidRPr="000153E6" w:rsidRDefault="001C368F" w:rsidP="00C20573">
            <w:pPr>
              <w:keepNext/>
              <w:rPr>
                <w:rFonts w:cstheme="minorHAnsi"/>
                <w:color w:val="FF0000"/>
                <w:sz w:val="20"/>
                <w:szCs w:val="20"/>
                <w:lang w:val="fr-FR"/>
              </w:rPr>
            </w:pPr>
            <w:proofErr w:type="spellStart"/>
            <w:r w:rsidRPr="000153E6">
              <w:rPr>
                <w:rFonts w:cstheme="minorHAnsi"/>
                <w:color w:val="FF0000"/>
                <w:sz w:val="20"/>
                <w:szCs w:val="20"/>
                <w:lang w:val="fr-FR"/>
              </w:rPr>
              <w:t>Afmeting</w:t>
            </w:r>
            <w:r w:rsidR="00421FB9" w:rsidRPr="000153E6">
              <w:rPr>
                <w:rFonts w:cstheme="minorHAnsi"/>
                <w:color w:val="FF0000"/>
                <w:sz w:val="20"/>
                <w:szCs w:val="20"/>
                <w:lang w:val="fr-FR"/>
              </w:rPr>
              <w:t>en</w:t>
            </w:r>
            <w:proofErr w:type="spellEnd"/>
            <w:r w:rsidR="00421FB9" w:rsidRPr="000153E6">
              <w:rPr>
                <w:rFonts w:cstheme="minorHAnsi"/>
                <w:color w:val="FF0000"/>
                <w:sz w:val="20"/>
                <w:szCs w:val="20"/>
                <w:lang w:val="fr-FR"/>
              </w:rPr>
              <w:t> 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B09923" w14:textId="77777777" w:rsidR="00866A25" w:rsidRPr="000153E6" w:rsidRDefault="00866A25" w:rsidP="00C20573">
            <w:pPr>
              <w:keepNext/>
              <w:rPr>
                <w:rFonts w:cstheme="minorHAnsi"/>
                <w:color w:val="FF0000"/>
                <w:sz w:val="20"/>
                <w:szCs w:val="20"/>
                <w:lang w:val="fr-FR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EF88FE" w14:textId="77777777" w:rsidR="00866A25" w:rsidRPr="000153E6" w:rsidRDefault="00866A25" w:rsidP="00C20573">
            <w:pPr>
              <w:keepNext/>
              <w:rPr>
                <w:rFonts w:cstheme="minorHAnsi"/>
                <w:color w:val="FF0000"/>
                <w:sz w:val="20"/>
                <w:szCs w:val="20"/>
                <w:lang w:val="fr-FR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E67315E" w14:textId="77777777" w:rsidR="00866A25" w:rsidRPr="000153E6" w:rsidRDefault="00866A25" w:rsidP="00C20573">
            <w:pPr>
              <w:keepNext/>
              <w:rPr>
                <w:rFonts w:cstheme="minorHAnsi"/>
                <w:color w:val="FF0000"/>
                <w:sz w:val="20"/>
                <w:szCs w:val="20"/>
                <w:lang w:val="fr-FR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DDCCB8" w14:textId="77777777" w:rsidR="00866A25" w:rsidRPr="000153E6" w:rsidRDefault="00866A25" w:rsidP="00C20573">
            <w:pPr>
              <w:keepNext/>
              <w:rPr>
                <w:rFonts w:cstheme="minorHAnsi"/>
                <w:color w:val="FF0000"/>
                <w:sz w:val="20"/>
                <w:szCs w:val="20"/>
                <w:lang w:val="fr-FR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303AC6C" w14:textId="77777777" w:rsidR="00866A25" w:rsidRPr="000153E6" w:rsidRDefault="00866A25" w:rsidP="00C20573">
            <w:pPr>
              <w:keepNext/>
              <w:rPr>
                <w:rFonts w:cstheme="minorHAnsi"/>
                <w:color w:val="FF0000"/>
                <w:sz w:val="20"/>
                <w:szCs w:val="20"/>
                <w:lang w:val="fr-FR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FA958E" w14:textId="77777777" w:rsidR="00866A25" w:rsidRPr="000153E6" w:rsidRDefault="00866A25" w:rsidP="00C20573">
            <w:pPr>
              <w:keepNext/>
              <w:rPr>
                <w:rFonts w:cstheme="minorHAnsi"/>
                <w:color w:val="FF0000"/>
                <w:sz w:val="20"/>
                <w:szCs w:val="20"/>
                <w:lang w:val="fr-FR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  <w:lang w:val="fr-FR"/>
              </w:rPr>
              <w:t>4000 Hz</w:t>
            </w:r>
          </w:p>
        </w:tc>
      </w:tr>
      <w:tr w:rsidR="000153E6" w:rsidRPr="000153E6" w14:paraId="75CBB0B2" w14:textId="5DA85EC8" w:rsidTr="00573351">
        <w:trPr>
          <w:cantSplit/>
        </w:trPr>
        <w:tc>
          <w:tcPr>
            <w:tcW w:w="2689" w:type="dxa"/>
          </w:tcPr>
          <w:p w14:paraId="3BB157C4" w14:textId="19EA2416" w:rsidR="00866A25" w:rsidRPr="000153E6" w:rsidRDefault="00866A25" w:rsidP="00CA060D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0153E6">
              <w:rPr>
                <w:color w:val="FF0000"/>
                <w:sz w:val="20"/>
                <w:szCs w:val="20"/>
              </w:rPr>
              <w:t>1,30 m2 (1,00 x 1,30 m) (gecalculeerde waarde</w:t>
            </w:r>
          </w:p>
        </w:tc>
        <w:tc>
          <w:tcPr>
            <w:tcW w:w="850" w:type="dxa"/>
          </w:tcPr>
          <w:p w14:paraId="12B36464" w14:textId="7FAC768F" w:rsidR="00866A25" w:rsidRPr="000153E6" w:rsidRDefault="00866A25" w:rsidP="000153E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</w:rPr>
              <w:t>0,70</w:t>
            </w:r>
          </w:p>
        </w:tc>
        <w:tc>
          <w:tcPr>
            <w:tcW w:w="851" w:type="dxa"/>
          </w:tcPr>
          <w:p w14:paraId="5C843C35" w14:textId="1B9166C1" w:rsidR="00866A25" w:rsidRPr="000153E6" w:rsidRDefault="00866A25" w:rsidP="000153E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</w:rPr>
              <w:t>1,30</w:t>
            </w:r>
          </w:p>
        </w:tc>
        <w:tc>
          <w:tcPr>
            <w:tcW w:w="850" w:type="dxa"/>
          </w:tcPr>
          <w:p w14:paraId="0BC25128" w14:textId="4083D24F" w:rsidR="00866A25" w:rsidRPr="000153E6" w:rsidRDefault="00866A25" w:rsidP="000153E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</w:rPr>
              <w:t>2,00</w:t>
            </w:r>
          </w:p>
        </w:tc>
        <w:tc>
          <w:tcPr>
            <w:tcW w:w="992" w:type="dxa"/>
          </w:tcPr>
          <w:p w14:paraId="6B3AD261" w14:textId="5BB1848D" w:rsidR="00866A25" w:rsidRPr="000153E6" w:rsidRDefault="00866A25" w:rsidP="000153E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</w:rPr>
              <w:t>2,50</w:t>
            </w:r>
          </w:p>
        </w:tc>
        <w:tc>
          <w:tcPr>
            <w:tcW w:w="993" w:type="dxa"/>
          </w:tcPr>
          <w:p w14:paraId="763DE146" w14:textId="575292F5" w:rsidR="00866A25" w:rsidRPr="000153E6" w:rsidRDefault="00866A25" w:rsidP="000153E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</w:rPr>
              <w:t>2,65</w:t>
            </w:r>
          </w:p>
        </w:tc>
        <w:tc>
          <w:tcPr>
            <w:tcW w:w="992" w:type="dxa"/>
          </w:tcPr>
          <w:p w14:paraId="44A7D60E" w14:textId="771B6922" w:rsidR="00866A25" w:rsidRPr="000153E6" w:rsidRDefault="00866A25" w:rsidP="000153E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</w:rPr>
              <w:t>2,60</w:t>
            </w:r>
          </w:p>
        </w:tc>
      </w:tr>
      <w:tr w:rsidR="000153E6" w:rsidRPr="000153E6" w14:paraId="762D6372" w14:textId="77777777" w:rsidTr="00573351">
        <w:trPr>
          <w:cantSplit/>
        </w:trPr>
        <w:tc>
          <w:tcPr>
            <w:tcW w:w="2689" w:type="dxa"/>
          </w:tcPr>
          <w:p w14:paraId="07832A1C" w14:textId="77777777" w:rsidR="00866A25" w:rsidRPr="000153E6" w:rsidRDefault="00866A25" w:rsidP="00CA060D">
            <w:pPr>
              <w:rPr>
                <w:color w:val="FF0000"/>
                <w:sz w:val="20"/>
                <w:szCs w:val="20"/>
              </w:rPr>
            </w:pPr>
            <w:r w:rsidRPr="000153E6">
              <w:rPr>
                <w:color w:val="FF0000"/>
                <w:sz w:val="20"/>
                <w:szCs w:val="20"/>
              </w:rPr>
              <w:t xml:space="preserve">2,16 m2 (1,20 x 1,80 m) </w:t>
            </w:r>
          </w:p>
          <w:p w14:paraId="203E51B6" w14:textId="40549273" w:rsidR="00866A25" w:rsidRPr="000153E6" w:rsidRDefault="00866A25" w:rsidP="00CA060D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0153E6">
              <w:rPr>
                <w:color w:val="FF0000"/>
                <w:sz w:val="20"/>
                <w:szCs w:val="20"/>
              </w:rPr>
              <w:t>(</w:t>
            </w:r>
            <w:proofErr w:type="gramStart"/>
            <w:r w:rsidRPr="000153E6">
              <w:rPr>
                <w:color w:val="FF0000"/>
                <w:sz w:val="20"/>
                <w:szCs w:val="20"/>
              </w:rPr>
              <w:t>gemeten</w:t>
            </w:r>
            <w:proofErr w:type="gramEnd"/>
            <w:r w:rsidRPr="000153E6">
              <w:rPr>
                <w:color w:val="FF0000"/>
                <w:sz w:val="20"/>
                <w:szCs w:val="20"/>
              </w:rPr>
              <w:t xml:space="preserve"> waarde)</w:t>
            </w:r>
          </w:p>
        </w:tc>
        <w:tc>
          <w:tcPr>
            <w:tcW w:w="850" w:type="dxa"/>
          </w:tcPr>
          <w:p w14:paraId="11D187CA" w14:textId="41BF17CD" w:rsidR="00866A25" w:rsidRPr="000153E6" w:rsidRDefault="001C368F" w:rsidP="000153E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</w:rPr>
              <w:t>1,15</w:t>
            </w:r>
          </w:p>
        </w:tc>
        <w:tc>
          <w:tcPr>
            <w:tcW w:w="851" w:type="dxa"/>
          </w:tcPr>
          <w:p w14:paraId="2E530D9A" w14:textId="45D31F03" w:rsidR="00866A25" w:rsidRPr="000153E6" w:rsidRDefault="001C368F" w:rsidP="000153E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</w:rPr>
              <w:t>2,20</w:t>
            </w:r>
          </w:p>
        </w:tc>
        <w:tc>
          <w:tcPr>
            <w:tcW w:w="850" w:type="dxa"/>
          </w:tcPr>
          <w:p w14:paraId="433D8FC8" w14:textId="122AC284" w:rsidR="00866A25" w:rsidRPr="000153E6" w:rsidRDefault="001C368F" w:rsidP="000153E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</w:rPr>
              <w:t>3,30</w:t>
            </w:r>
          </w:p>
        </w:tc>
        <w:tc>
          <w:tcPr>
            <w:tcW w:w="992" w:type="dxa"/>
          </w:tcPr>
          <w:p w14:paraId="2BC1C665" w14:textId="4F3B054F" w:rsidR="00866A25" w:rsidRPr="000153E6" w:rsidRDefault="001C368F" w:rsidP="000153E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</w:rPr>
              <w:t>4,10</w:t>
            </w:r>
          </w:p>
        </w:tc>
        <w:tc>
          <w:tcPr>
            <w:tcW w:w="993" w:type="dxa"/>
          </w:tcPr>
          <w:p w14:paraId="43E4E942" w14:textId="3099CA73" w:rsidR="00866A25" w:rsidRPr="000153E6" w:rsidRDefault="001C368F" w:rsidP="000153E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</w:rPr>
              <w:t>4,35</w:t>
            </w:r>
          </w:p>
        </w:tc>
        <w:tc>
          <w:tcPr>
            <w:tcW w:w="992" w:type="dxa"/>
          </w:tcPr>
          <w:p w14:paraId="3FD55747" w14:textId="63ABCB75" w:rsidR="00866A25" w:rsidRPr="000153E6" w:rsidRDefault="001C368F" w:rsidP="000153E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</w:rPr>
              <w:t>4,30</w:t>
            </w:r>
          </w:p>
        </w:tc>
      </w:tr>
      <w:tr w:rsidR="000153E6" w:rsidRPr="000153E6" w14:paraId="4969183C" w14:textId="77777777" w:rsidTr="00573351">
        <w:trPr>
          <w:cantSplit/>
        </w:trPr>
        <w:tc>
          <w:tcPr>
            <w:tcW w:w="2689" w:type="dxa"/>
            <w:tcBorders>
              <w:bottom w:val="single" w:sz="4" w:space="0" w:color="auto"/>
            </w:tcBorders>
          </w:tcPr>
          <w:p w14:paraId="2EFA2BCB" w14:textId="1806189B" w:rsidR="00866A25" w:rsidRPr="000153E6" w:rsidRDefault="00866A25" w:rsidP="00CA060D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0153E6">
              <w:rPr>
                <w:color w:val="FF0000"/>
                <w:sz w:val="20"/>
                <w:szCs w:val="20"/>
              </w:rPr>
              <w:t>2,21 m2 (1,70 x 1,30 m) (gecalculeerde waarde)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E6EE03D" w14:textId="42875B18" w:rsidR="00866A25" w:rsidRPr="000153E6" w:rsidRDefault="001C368F" w:rsidP="000153E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</w:rPr>
              <w:t>1,20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9D67AB" w14:textId="063F342C" w:rsidR="00866A25" w:rsidRPr="000153E6" w:rsidRDefault="001C368F" w:rsidP="000153E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</w:rPr>
              <w:t>2,25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79EC6FD" w14:textId="7B787545" w:rsidR="00866A25" w:rsidRPr="000153E6" w:rsidRDefault="001C368F" w:rsidP="000153E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</w:rPr>
              <w:t>3,35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44B6C5" w14:textId="602AB065" w:rsidR="00866A25" w:rsidRPr="000153E6" w:rsidRDefault="001C368F" w:rsidP="000153E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</w:rPr>
              <w:t>4,20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4247BC2" w14:textId="68CCB1E8" w:rsidR="00866A25" w:rsidRPr="000153E6" w:rsidRDefault="001C368F" w:rsidP="000153E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</w:rPr>
              <w:t>4,50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AC934C" w14:textId="58083974" w:rsidR="00866A25" w:rsidRPr="000153E6" w:rsidRDefault="001C368F" w:rsidP="000153E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153E6">
              <w:rPr>
                <w:rFonts w:cstheme="minorHAnsi"/>
                <w:color w:val="FF0000"/>
                <w:sz w:val="20"/>
                <w:szCs w:val="20"/>
              </w:rPr>
              <w:t>4,40</w:t>
            </w:r>
          </w:p>
        </w:tc>
      </w:tr>
    </w:tbl>
    <w:p w14:paraId="2246A629" w14:textId="4E91024A" w:rsidR="001A2C08" w:rsidRDefault="001A2C08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bookmarkEnd w:id="0"/>
    <w:p w14:paraId="5ECE8D35" w14:textId="77777777" w:rsidR="001C368F" w:rsidRDefault="001C368F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2C083BBC" w14:textId="77777777" w:rsidR="001C368F" w:rsidRDefault="001C368F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36480669" w14:textId="77777777" w:rsidR="001C368F" w:rsidRDefault="001C368F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77DB6A25" w14:textId="77777777" w:rsidR="001C368F" w:rsidRDefault="001C368F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6198F2D7" w14:textId="77777777" w:rsidR="001C368F" w:rsidRDefault="001C368F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6D30DB2" w14:textId="77777777" w:rsidR="001C368F" w:rsidRDefault="001C368F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7588AB37" w14:textId="77777777" w:rsidR="001C368F" w:rsidRDefault="001C368F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3E321C3B" w14:textId="77777777" w:rsidR="005A509D" w:rsidRDefault="005A509D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59032E7C" w14:textId="77777777" w:rsidR="001C368F" w:rsidRDefault="001C368F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2C11B7FC" w14:textId="6C0596BA" w:rsidR="001C368F" w:rsidRPr="000153E6" w:rsidRDefault="001C368F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  <w:r w:rsidRPr="000153E6">
        <w:rPr>
          <w:rFonts w:cstheme="minorHAnsi"/>
          <w:b/>
          <w:bCs/>
          <w:noProof/>
          <w:sz w:val="20"/>
          <w:szCs w:val="20"/>
          <w:u w:val="single"/>
        </w:rPr>
        <w:lastRenderedPageBreak/>
        <w:t>Geluidsdemping</w:t>
      </w:r>
      <w:r w:rsidR="000153E6" w:rsidRPr="000153E6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72907E4A" w14:textId="5520857E" w:rsidR="001C368F" w:rsidRPr="001C368F" w:rsidRDefault="000153E6" w:rsidP="001A2C0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 g</w:t>
      </w:r>
      <w:r w:rsidR="001C368F" w:rsidRPr="001C368F">
        <w:rPr>
          <w:sz w:val="20"/>
          <w:szCs w:val="20"/>
        </w:rPr>
        <w:t>eluidsdemping van het scherm meet de geluidsreductie (geluidsdrukniveau) tussen een bron en ontvanger met een scherm ertussen. De geluidsdemping van het scherm (reductie) wordt uitgedrukt in decibel dB(A).</w:t>
      </w:r>
    </w:p>
    <w:p w14:paraId="2D292EDC" w14:textId="1FC53891" w:rsidR="001C368F" w:rsidRDefault="001C368F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1DB31D18" w14:textId="77777777" w:rsidR="001C368F" w:rsidRPr="0099323F" w:rsidRDefault="001C368F" w:rsidP="001C368F">
      <w:pPr>
        <w:keepNext/>
        <w:spacing w:after="0" w:line="240" w:lineRule="auto"/>
        <w:rPr>
          <w:rFonts w:cstheme="minorHAnsi"/>
          <w:sz w:val="20"/>
          <w:szCs w:val="20"/>
          <w:lang w:val="nl-NL"/>
        </w:rPr>
      </w:pPr>
    </w:p>
    <w:tbl>
      <w:tblPr>
        <w:tblStyle w:val="Tabelraster"/>
        <w:tblW w:w="8758" w:type="dxa"/>
        <w:tblLayout w:type="fixed"/>
        <w:tblLook w:val="04A0" w:firstRow="1" w:lastRow="0" w:firstColumn="1" w:lastColumn="0" w:noHBand="0" w:noVBand="1"/>
      </w:tblPr>
      <w:tblGrid>
        <w:gridCol w:w="3256"/>
        <w:gridCol w:w="687"/>
        <w:gridCol w:w="688"/>
        <w:gridCol w:w="688"/>
        <w:gridCol w:w="687"/>
        <w:gridCol w:w="688"/>
        <w:gridCol w:w="688"/>
        <w:gridCol w:w="688"/>
        <w:gridCol w:w="688"/>
      </w:tblGrid>
      <w:tr w:rsidR="00847AEA" w:rsidRPr="00457077" w14:paraId="317F93F1" w14:textId="06C8367D" w:rsidTr="00847AEA">
        <w:trPr>
          <w:cantSplit/>
        </w:trPr>
        <w:tc>
          <w:tcPr>
            <w:tcW w:w="3256" w:type="dxa"/>
            <w:tcBorders>
              <w:bottom w:val="single" w:sz="4" w:space="0" w:color="auto"/>
            </w:tcBorders>
          </w:tcPr>
          <w:p w14:paraId="7B6FD2DE" w14:textId="231BBF53" w:rsidR="00847AEA" w:rsidRPr="001C368F" w:rsidRDefault="00847AEA" w:rsidP="00AB20DA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 xml:space="preserve">Totale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afmeting</w:t>
            </w:r>
            <w:proofErr w:type="spellEnd"/>
            <w:r>
              <w:rPr>
                <w:rFonts w:cstheme="minorHAnsi"/>
                <w:sz w:val="20"/>
                <w:szCs w:val="20"/>
                <w:lang w:val="fr-FR"/>
              </w:rPr>
              <w:t xml:space="preserve"> test 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object</w:t>
            </w:r>
            <w:proofErr w:type="spellEnd"/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BF994D9" w14:textId="77777777" w:rsidR="00847AEA" w:rsidRPr="001C368F" w:rsidRDefault="00847AEA" w:rsidP="00AB20DA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1C368F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00D0089A" w14:textId="77777777" w:rsidR="00847AEA" w:rsidRPr="001C368F" w:rsidRDefault="00847AEA" w:rsidP="00AB20DA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1C368F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7E69F29" w14:textId="77777777" w:rsidR="00847AEA" w:rsidRPr="001C368F" w:rsidRDefault="00847AEA" w:rsidP="00AB20DA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1C368F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574CFF8" w14:textId="77777777" w:rsidR="00847AEA" w:rsidRPr="001C368F" w:rsidRDefault="00847AEA" w:rsidP="00AB20DA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1C368F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D5B4DDD" w14:textId="77777777" w:rsidR="00847AEA" w:rsidRPr="001C368F" w:rsidRDefault="00847AEA" w:rsidP="00AB20DA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1C368F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2C6D8FF" w14:textId="77777777" w:rsidR="00847AEA" w:rsidRPr="001C368F" w:rsidRDefault="00847AEA" w:rsidP="00AB20DA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1C368F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36FDF26" w14:textId="66B1B796" w:rsidR="00847AEA" w:rsidRPr="001C368F" w:rsidRDefault="00847AEA" w:rsidP="00AB20DA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softHyphen/>
            </w:r>
            <w:proofErr w:type="spellStart"/>
            <w:r>
              <w:t>Ls</w:t>
            </w:r>
            <w:proofErr w:type="spellEnd"/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9DEFEF3" w14:textId="38C48B10" w:rsidR="00847AEA" w:rsidRPr="001C368F" w:rsidRDefault="00847AEA" w:rsidP="00AB20DA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softHyphen/>
            </w:r>
            <w:proofErr w:type="spellStart"/>
            <w:proofErr w:type="gramStart"/>
            <w:r>
              <w:t>Ls,w</w:t>
            </w:r>
            <w:proofErr w:type="spellEnd"/>
            <w:proofErr w:type="gramEnd"/>
          </w:p>
        </w:tc>
      </w:tr>
      <w:tr w:rsidR="00847AEA" w:rsidRPr="00457077" w14:paraId="78F6B796" w14:textId="67408E51" w:rsidTr="00847AEA">
        <w:trPr>
          <w:cantSplit/>
        </w:trPr>
        <w:tc>
          <w:tcPr>
            <w:tcW w:w="3256" w:type="dxa"/>
          </w:tcPr>
          <w:p w14:paraId="065B4E36" w14:textId="263E3504" w:rsidR="00847AEA" w:rsidRPr="001C368F" w:rsidRDefault="00847AEA" w:rsidP="00AB20DA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3,40 x 1,30 m (geluidsdemping dB)</w:t>
            </w:r>
          </w:p>
        </w:tc>
        <w:tc>
          <w:tcPr>
            <w:tcW w:w="687" w:type="dxa"/>
          </w:tcPr>
          <w:p w14:paraId="77D40FEE" w14:textId="52A10D31" w:rsidR="00847AEA" w:rsidRPr="001C368F" w:rsidRDefault="00847AEA" w:rsidP="00AB20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88" w:type="dxa"/>
          </w:tcPr>
          <w:p w14:paraId="1D742502" w14:textId="6D6E08FC" w:rsidR="00847AEA" w:rsidRPr="001C368F" w:rsidRDefault="00847AEA" w:rsidP="00AB20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88" w:type="dxa"/>
          </w:tcPr>
          <w:p w14:paraId="0BBC87D6" w14:textId="23FE4054" w:rsidR="00847AEA" w:rsidRPr="001C368F" w:rsidRDefault="00847AEA" w:rsidP="00AB20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87" w:type="dxa"/>
          </w:tcPr>
          <w:p w14:paraId="5AB3C281" w14:textId="6E0430D4" w:rsidR="00847AEA" w:rsidRPr="001C368F" w:rsidRDefault="00847AEA" w:rsidP="00AB20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88" w:type="dxa"/>
          </w:tcPr>
          <w:p w14:paraId="3D39BDAF" w14:textId="6622D02D" w:rsidR="00847AEA" w:rsidRPr="001C368F" w:rsidRDefault="00847AEA" w:rsidP="00AB20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88" w:type="dxa"/>
          </w:tcPr>
          <w:p w14:paraId="6B2EAED9" w14:textId="60C46408" w:rsidR="00847AEA" w:rsidRPr="001C368F" w:rsidRDefault="00847AEA" w:rsidP="00AB20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688" w:type="dxa"/>
          </w:tcPr>
          <w:p w14:paraId="524B46C2" w14:textId="693E7D84" w:rsidR="00847AEA" w:rsidRPr="001C368F" w:rsidRDefault="00847AEA" w:rsidP="00AB20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88" w:type="dxa"/>
          </w:tcPr>
          <w:p w14:paraId="32A0AE8A" w14:textId="1D621F66" w:rsidR="00847AEA" w:rsidRPr="001C368F" w:rsidRDefault="00847AEA" w:rsidP="00AB20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847AEA" w:rsidRPr="00457077" w14:paraId="6EFF1EAE" w14:textId="07EB45BD" w:rsidTr="00847AEA">
        <w:trPr>
          <w:cantSplit/>
        </w:trPr>
        <w:tc>
          <w:tcPr>
            <w:tcW w:w="3256" w:type="dxa"/>
          </w:tcPr>
          <w:p w14:paraId="5FB5E4EA" w14:textId="55C8827C" w:rsidR="00847AEA" w:rsidRPr="00847AEA" w:rsidRDefault="00847AEA" w:rsidP="00AB2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4,80 x 1,80 m (geluidsdemping dB)</w:t>
            </w:r>
          </w:p>
        </w:tc>
        <w:tc>
          <w:tcPr>
            <w:tcW w:w="687" w:type="dxa"/>
          </w:tcPr>
          <w:p w14:paraId="601BCB35" w14:textId="43DFA531" w:rsidR="00847AEA" w:rsidRPr="001C368F" w:rsidRDefault="00847AEA" w:rsidP="00AB20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88" w:type="dxa"/>
          </w:tcPr>
          <w:p w14:paraId="254FA72B" w14:textId="755E25E6" w:rsidR="00847AEA" w:rsidRPr="001C368F" w:rsidRDefault="00847AEA" w:rsidP="00AB20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88" w:type="dxa"/>
          </w:tcPr>
          <w:p w14:paraId="7BCCDA35" w14:textId="49F2305D" w:rsidR="00847AEA" w:rsidRPr="001C368F" w:rsidRDefault="00847AEA" w:rsidP="00AB20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87" w:type="dxa"/>
          </w:tcPr>
          <w:p w14:paraId="7CDC2F4B" w14:textId="180BBACB" w:rsidR="00847AEA" w:rsidRPr="001C368F" w:rsidRDefault="00847AEA" w:rsidP="00AB20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88" w:type="dxa"/>
          </w:tcPr>
          <w:p w14:paraId="260F3CD2" w14:textId="36C60B0C" w:rsidR="00847AEA" w:rsidRPr="001C368F" w:rsidRDefault="00847AEA" w:rsidP="00AB20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88" w:type="dxa"/>
          </w:tcPr>
          <w:p w14:paraId="319CFF69" w14:textId="2A42C4E5" w:rsidR="00847AEA" w:rsidRPr="001C368F" w:rsidRDefault="00847AEA" w:rsidP="00AB20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88" w:type="dxa"/>
          </w:tcPr>
          <w:p w14:paraId="4D90E52C" w14:textId="5E8854D7" w:rsidR="00847AEA" w:rsidRPr="001C368F" w:rsidRDefault="00847AEA" w:rsidP="00AB20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88" w:type="dxa"/>
          </w:tcPr>
          <w:p w14:paraId="67DF1F87" w14:textId="2F2B992B" w:rsidR="00847AEA" w:rsidRPr="001C368F" w:rsidRDefault="00847AEA" w:rsidP="00AB20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</w:tr>
    </w:tbl>
    <w:p w14:paraId="571919DA" w14:textId="77777777" w:rsidR="001C368F" w:rsidRDefault="001C368F" w:rsidP="001C368F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6C17E578" w14:textId="24C6EB4F" w:rsidR="001C368F" w:rsidRPr="00001EEF" w:rsidRDefault="00847AEA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softHyphen/>
      </w:r>
    </w:p>
    <w:p w14:paraId="0B61325D" w14:textId="5BAE23EA" w:rsidR="001A2C08" w:rsidRPr="000153E6" w:rsidRDefault="001A2C08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  <w:r w:rsidRPr="000153E6">
        <w:rPr>
          <w:rFonts w:cstheme="minorHAnsi"/>
          <w:b/>
          <w:bCs/>
          <w:noProof/>
          <w:sz w:val="20"/>
          <w:szCs w:val="20"/>
          <w:u w:val="single"/>
        </w:rPr>
        <w:t>Brandreactie</w:t>
      </w:r>
      <w:r w:rsidR="000153E6" w:rsidRPr="000153E6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2AD5C77E" w14:textId="091379F9" w:rsidR="001A2C08" w:rsidRPr="00810F18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 xml:space="preserve">De panelen zijn geclassificeerd CE Klasse </w:t>
      </w:r>
      <w:r w:rsidR="00CA060D" w:rsidRPr="00CA060D">
        <w:rPr>
          <w:rFonts w:cstheme="minorHAnsi"/>
          <w:noProof/>
          <w:sz w:val="20"/>
          <w:szCs w:val="20"/>
        </w:rPr>
        <w:t>B-s1,d0</w:t>
      </w:r>
      <w:r w:rsidRPr="00B02DE3">
        <w:rPr>
          <w:rFonts w:cstheme="minorHAnsi"/>
          <w:noProof/>
          <w:sz w:val="20"/>
          <w:szCs w:val="20"/>
        </w:rPr>
        <w:t xml:space="preserve"> volgens EN 13501-1</w:t>
      </w:r>
    </w:p>
    <w:p w14:paraId="6652FEF8" w14:textId="77777777" w:rsidR="001A2C08" w:rsidRPr="00810F18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209AADD3" w14:textId="42A4AC7D" w:rsidR="001A2C08" w:rsidRPr="000153E6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0153E6">
        <w:rPr>
          <w:rFonts w:cstheme="minorHAnsi"/>
          <w:b/>
          <w:bCs/>
          <w:noProof/>
          <w:sz w:val="20"/>
          <w:szCs w:val="20"/>
          <w:u w:val="single"/>
          <w:lang w:eastAsia="zh-CN"/>
        </w:rPr>
        <w:t>Reinigbaarheid</w:t>
      </w:r>
      <w:r w:rsidR="000153E6" w:rsidRPr="000153E6">
        <w:rPr>
          <w:rFonts w:cstheme="minorHAnsi"/>
          <w:b/>
          <w:bCs/>
          <w:noProof/>
          <w:sz w:val="20"/>
          <w:szCs w:val="20"/>
          <w:u w:val="single"/>
          <w:lang w:eastAsia="zh-CN"/>
        </w:rPr>
        <w:t>:</w:t>
      </w:r>
    </w:p>
    <w:p w14:paraId="690B4520" w14:textId="07B03BE3" w:rsidR="001A2C08" w:rsidRDefault="00CA060D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 xml:space="preserve">Het frame kan worden schoongemaakt met behulp van een </w:t>
      </w:r>
      <w:r w:rsidR="001A2C08" w:rsidRPr="00B02DE3">
        <w:rPr>
          <w:rFonts w:cstheme="minorHAnsi"/>
          <w:noProof/>
          <w:sz w:val="20"/>
          <w:szCs w:val="20"/>
        </w:rPr>
        <w:t>stofzuiger</w:t>
      </w:r>
      <w:r>
        <w:rPr>
          <w:rFonts w:cstheme="minorHAnsi"/>
          <w:noProof/>
          <w:sz w:val="20"/>
          <w:szCs w:val="20"/>
        </w:rPr>
        <w:t xml:space="preserve">, een vochtige doek of lagedrukschuimreiniging.  </w:t>
      </w:r>
    </w:p>
    <w:p w14:paraId="0EF61915" w14:textId="68CD15D5" w:rsidR="00CA060D" w:rsidRDefault="00CA060D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 xml:space="preserve">Het canvas kan worden schoongemaakt met behulp van een </w:t>
      </w:r>
      <w:r w:rsidRPr="00B02DE3">
        <w:rPr>
          <w:rFonts w:cstheme="minorHAnsi"/>
          <w:noProof/>
          <w:sz w:val="20"/>
          <w:szCs w:val="20"/>
        </w:rPr>
        <w:t>stofzuiger</w:t>
      </w:r>
      <w:r>
        <w:rPr>
          <w:rFonts w:cstheme="minorHAnsi"/>
          <w:noProof/>
          <w:sz w:val="20"/>
          <w:szCs w:val="20"/>
        </w:rPr>
        <w:t xml:space="preserve">, een vochtige doek of wassen in een normale </w:t>
      </w:r>
      <w:r w:rsidR="000153E6">
        <w:rPr>
          <w:rFonts w:cstheme="minorHAnsi"/>
          <w:noProof/>
          <w:sz w:val="20"/>
          <w:szCs w:val="20"/>
        </w:rPr>
        <w:t>was</w:t>
      </w:r>
      <w:r>
        <w:rPr>
          <w:rFonts w:cstheme="minorHAnsi"/>
          <w:noProof/>
          <w:sz w:val="20"/>
          <w:szCs w:val="20"/>
        </w:rPr>
        <w:t xml:space="preserve">machine tot </w:t>
      </w:r>
      <w:r w:rsidR="000153E6">
        <w:rPr>
          <w:rFonts w:cstheme="minorHAnsi"/>
          <w:noProof/>
          <w:sz w:val="20"/>
          <w:szCs w:val="20"/>
        </w:rPr>
        <w:t xml:space="preserve">max. </w:t>
      </w:r>
      <w:r>
        <w:rPr>
          <w:rFonts w:cstheme="minorHAnsi"/>
          <w:noProof/>
          <w:sz w:val="20"/>
          <w:szCs w:val="20"/>
        </w:rPr>
        <w:t xml:space="preserve">70°C.  </w:t>
      </w:r>
    </w:p>
    <w:p w14:paraId="1D447C4C" w14:textId="2BE5E7DB" w:rsidR="00CA060D" w:rsidRDefault="00CA060D" w:rsidP="00CA060D">
      <w:pPr>
        <w:autoSpaceDE w:val="0"/>
        <w:autoSpaceDN w:val="0"/>
        <w:adjustRightInd w:val="0"/>
        <w:snapToGrid w:val="0"/>
        <w:spacing w:after="0" w:line="240" w:lineRule="auto"/>
        <w:rPr>
          <w:rFonts w:ascii="Avenir" w:eastAsia="Times New Roman" w:hAnsi="Avenir" w:cs="Avenir"/>
          <w:color w:val="000000"/>
          <w:sz w:val="16"/>
          <w:szCs w:val="24"/>
          <w:lang w:val="x-none"/>
        </w:rPr>
      </w:pPr>
    </w:p>
    <w:p w14:paraId="6970B8AE" w14:textId="39D8439D" w:rsidR="001A2C08" w:rsidRPr="000153E6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0153E6">
        <w:rPr>
          <w:rFonts w:cstheme="minorHAnsi"/>
          <w:b/>
          <w:bCs/>
          <w:sz w:val="20"/>
          <w:szCs w:val="20"/>
          <w:u w:val="single"/>
        </w:rPr>
        <w:t>Hygiëne</w:t>
      </w:r>
      <w:r w:rsidR="000153E6" w:rsidRPr="000153E6">
        <w:rPr>
          <w:rFonts w:cstheme="minorHAnsi"/>
          <w:b/>
          <w:bCs/>
          <w:sz w:val="20"/>
          <w:szCs w:val="20"/>
          <w:u w:val="single"/>
        </w:rPr>
        <w:t>:</w:t>
      </w:r>
    </w:p>
    <w:p w14:paraId="2469CF18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0A3A8412" w14:textId="22AADBB7" w:rsidR="001A2C08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2E535D41" w14:textId="38A6BC5F" w:rsidR="00457077" w:rsidRPr="000153E6" w:rsidRDefault="00457077" w:rsidP="00457077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0153E6">
        <w:rPr>
          <w:rFonts w:cstheme="minorHAnsi"/>
          <w:b/>
          <w:bCs/>
          <w:noProof/>
          <w:sz w:val="20"/>
          <w:szCs w:val="20"/>
          <w:u w:val="single"/>
        </w:rPr>
        <w:t>Binnenklimaat</w:t>
      </w:r>
      <w:r w:rsidR="000153E6" w:rsidRPr="000153E6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4F2D5909" w14:textId="77777777" w:rsidR="00457077" w:rsidRPr="00050E55" w:rsidRDefault="00457077" w:rsidP="00457077">
      <w:pPr>
        <w:spacing w:after="0" w:line="240" w:lineRule="auto"/>
        <w:rPr>
          <w:rFonts w:cstheme="minorHAnsi"/>
          <w:sz w:val="20"/>
          <w:szCs w:val="20"/>
        </w:rPr>
      </w:pPr>
      <w:r w:rsidRPr="0040352D">
        <w:rPr>
          <w:rFonts w:cstheme="minorHAnsi"/>
          <w:noProof/>
          <w:sz w:val="20"/>
          <w:szCs w:val="20"/>
        </w:rPr>
        <w:t>M1 en Indoor Climate Label</w:t>
      </w:r>
    </w:p>
    <w:p w14:paraId="1F7D3D71" w14:textId="77777777" w:rsidR="00457077" w:rsidRPr="00050E55" w:rsidRDefault="00457077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01E94A6F" w14:textId="6F955649" w:rsidR="001A2C08" w:rsidRPr="000153E6" w:rsidRDefault="001A2C08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  <w:r w:rsidRPr="000153E6">
        <w:rPr>
          <w:rFonts w:cstheme="minorHAnsi"/>
          <w:b/>
          <w:bCs/>
          <w:noProof/>
          <w:sz w:val="20"/>
          <w:szCs w:val="20"/>
          <w:u w:val="single"/>
        </w:rPr>
        <w:t>Milieu</w:t>
      </w:r>
      <w:r w:rsidR="000153E6" w:rsidRPr="000153E6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6DD93806" w14:textId="77777777" w:rsidR="001A2C08" w:rsidRPr="00564A0A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Volledig recycleerbaar</w:t>
      </w:r>
    </w:p>
    <w:p w14:paraId="414724C2" w14:textId="77777777" w:rsidR="001A2C08" w:rsidRPr="00D33B77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5C7C20C2" w14:textId="4F1C1D30" w:rsidR="001A2C08" w:rsidRPr="000153E6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0153E6">
        <w:rPr>
          <w:rFonts w:cstheme="minorHAnsi"/>
          <w:b/>
          <w:bCs/>
          <w:sz w:val="20"/>
          <w:szCs w:val="20"/>
          <w:u w:val="single"/>
        </w:rPr>
        <w:t>Levensduur</w:t>
      </w:r>
      <w:r w:rsidR="000153E6" w:rsidRPr="000153E6">
        <w:rPr>
          <w:rFonts w:cstheme="minorHAnsi"/>
          <w:b/>
          <w:bCs/>
          <w:sz w:val="20"/>
          <w:szCs w:val="20"/>
          <w:u w:val="single"/>
        </w:rPr>
        <w:t>:</w:t>
      </w:r>
    </w:p>
    <w:p w14:paraId="21019203" w14:textId="77777777" w:rsidR="001A2C08" w:rsidRPr="00B02DE3" w:rsidRDefault="001A2C08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 xml:space="preserve">De fabrikant van de panelen dient een productgarantie voor te leggen voor 15 jaar. </w:t>
      </w:r>
    </w:p>
    <w:p w14:paraId="544B4745" w14:textId="77777777" w:rsidR="001A2C08" w:rsidRPr="00A575EC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7D4034E1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2339980C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738AC505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2DB547A7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1E8AAECE" w14:textId="77777777" w:rsidR="001A2C08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4960E635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256C6323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4A23EE10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F70A611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7F9FB43C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proofErr w:type="gramStart"/>
      <w:r w:rsidRPr="00050E55">
        <w:rPr>
          <w:rFonts w:cstheme="minorHAnsi"/>
          <w:sz w:val="20"/>
          <w:szCs w:val="20"/>
        </w:rPr>
        <w:tab/>
        <w:t xml:space="preserve">  </w:t>
      </w:r>
      <w:r w:rsidRPr="00B02DE3">
        <w:rPr>
          <w:rFonts w:cstheme="minorHAnsi"/>
          <w:noProof/>
          <w:sz w:val="20"/>
          <w:szCs w:val="20"/>
        </w:rPr>
        <w:t>st</w:t>
      </w:r>
      <w:proofErr w:type="gramEnd"/>
    </w:p>
    <w:p w14:paraId="1FEF15C3" w14:textId="6E20E695" w:rsidR="006A1F31" w:rsidRDefault="001A2C08" w:rsidP="000153E6">
      <w:pPr>
        <w:spacing w:after="0" w:line="240" w:lineRule="auto"/>
      </w:pPr>
      <w:r w:rsidRPr="00050E55">
        <w:rPr>
          <w:rFonts w:cstheme="minorHAnsi"/>
          <w:sz w:val="20"/>
          <w:szCs w:val="20"/>
        </w:rPr>
        <w:t>Meetcode:</w:t>
      </w:r>
      <w:r w:rsidRPr="00050E55">
        <w:rPr>
          <w:rFonts w:cstheme="minorHAnsi"/>
          <w:sz w:val="20"/>
          <w:szCs w:val="20"/>
        </w:rPr>
        <w:tab/>
      </w:r>
    </w:p>
    <w:sectPr w:rsidR="006A1F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5EC7" w14:textId="77777777" w:rsidR="0036635C" w:rsidRDefault="0036635C">
      <w:pPr>
        <w:spacing w:after="0" w:line="240" w:lineRule="auto"/>
      </w:pPr>
      <w:r>
        <w:separator/>
      </w:r>
    </w:p>
  </w:endnote>
  <w:endnote w:type="continuationSeparator" w:id="0">
    <w:p w14:paraId="1C84033B" w14:textId="77777777" w:rsidR="0036635C" w:rsidRDefault="0036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35D6" w14:textId="3146E4C8" w:rsidR="0095166A" w:rsidRPr="00D256F1" w:rsidRDefault="001A2C08" w:rsidP="00572E3A">
    <w:pPr>
      <w:pStyle w:val="Voettekst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 w:rsidR="004D7F88">
      <w:rPr>
        <w:noProof/>
        <w:sz w:val="16"/>
        <w:szCs w:val="16"/>
      </w:rPr>
      <w:t>27/02</w:t>
    </w:r>
    <w:r>
      <w:rPr>
        <w:noProof/>
        <w:sz w:val="16"/>
        <w:szCs w:val="16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13D49" w14:textId="77777777" w:rsidR="0036635C" w:rsidRDefault="0036635C">
      <w:pPr>
        <w:spacing w:after="0" w:line="240" w:lineRule="auto"/>
      </w:pPr>
      <w:r>
        <w:separator/>
      </w:r>
    </w:p>
  </w:footnote>
  <w:footnote w:type="continuationSeparator" w:id="0">
    <w:p w14:paraId="39661F31" w14:textId="77777777" w:rsidR="0036635C" w:rsidRDefault="00366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08"/>
    <w:rsid w:val="000153E6"/>
    <w:rsid w:val="000D3687"/>
    <w:rsid w:val="00140660"/>
    <w:rsid w:val="001A2C08"/>
    <w:rsid w:val="001C368F"/>
    <w:rsid w:val="002A5A57"/>
    <w:rsid w:val="0036635C"/>
    <w:rsid w:val="00421FB9"/>
    <w:rsid w:val="00457077"/>
    <w:rsid w:val="004C750B"/>
    <w:rsid w:val="004D7F88"/>
    <w:rsid w:val="00507D16"/>
    <w:rsid w:val="00541BD9"/>
    <w:rsid w:val="00573351"/>
    <w:rsid w:val="005A509D"/>
    <w:rsid w:val="005C2D60"/>
    <w:rsid w:val="006A1F31"/>
    <w:rsid w:val="00847AEA"/>
    <w:rsid w:val="00866A25"/>
    <w:rsid w:val="0099323F"/>
    <w:rsid w:val="009D4A9B"/>
    <w:rsid w:val="00A146FC"/>
    <w:rsid w:val="00BB35F6"/>
    <w:rsid w:val="00C22102"/>
    <w:rsid w:val="00CA060D"/>
    <w:rsid w:val="00E67888"/>
    <w:rsid w:val="00F8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48D784"/>
  <w15:chartTrackingRefBased/>
  <w15:docId w15:val="{D6E0881D-0C95-455D-B39C-6BD23693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368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1A2C08"/>
    <w:rPr>
      <w:color w:val="008080"/>
    </w:rPr>
  </w:style>
  <w:style w:type="character" w:customStyle="1" w:styleId="Referentie">
    <w:name w:val="Referentie"/>
    <w:rsid w:val="001A2C08"/>
    <w:rPr>
      <w:color w:val="FF6600"/>
    </w:rPr>
  </w:style>
  <w:style w:type="character" w:customStyle="1" w:styleId="RevisieDatum">
    <w:name w:val="RevisieDatum"/>
    <w:rsid w:val="001A2C08"/>
    <w:rPr>
      <w:vanish/>
      <w:color w:val="auto"/>
    </w:rPr>
  </w:style>
  <w:style w:type="table" w:styleId="Tabelraster">
    <w:name w:val="Table Grid"/>
    <w:basedOn w:val="Standaardtabel"/>
    <w:uiPriority w:val="59"/>
    <w:rsid w:val="001A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2C08"/>
  </w:style>
  <w:style w:type="paragraph" w:styleId="Voettekst">
    <w:name w:val="footer"/>
    <w:basedOn w:val="Standaard"/>
    <w:link w:val="Voet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Erik Gubbels</cp:lastModifiedBy>
  <cp:revision>4</cp:revision>
  <dcterms:created xsi:type="dcterms:W3CDTF">2023-03-21T08:44:00Z</dcterms:created>
  <dcterms:modified xsi:type="dcterms:W3CDTF">2023-03-21T09:28:00Z</dcterms:modified>
</cp:coreProperties>
</file>