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5C582675" w:rsidR="001A2C08" w:rsidRPr="00A146FC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A146F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A146F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="00A146FC" w:rsidRPr="00A146F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Canva™ Wall_NL</w:t>
      </w:r>
    </w:p>
    <w:p w14:paraId="2B49CE76" w14:textId="1A5C9B31" w:rsidR="000E6EFC" w:rsidRPr="000E6EFC" w:rsidRDefault="001A2C08" w:rsidP="000E6EFC">
      <w:pPr>
        <w:spacing w:after="240" w:line="240" w:lineRule="auto"/>
        <w:rPr>
          <w:rFonts w:cstheme="minorHAnsi"/>
          <w:b/>
          <w:noProof/>
          <w:sz w:val="20"/>
          <w:szCs w:val="20"/>
          <w:u w:val="single"/>
          <w:lang w:val="nl-NL"/>
        </w:rPr>
      </w:pPr>
      <w:r w:rsidRPr="000E6EFC">
        <w:rPr>
          <w:rFonts w:cstheme="minorHAnsi"/>
          <w:b/>
          <w:sz w:val="20"/>
          <w:szCs w:val="20"/>
          <w:u w:val="single"/>
          <w:lang w:val="nl-NL"/>
        </w:rPr>
        <w:t>00.00.00</w:t>
      </w:r>
      <w:r w:rsidRPr="000E6EFC">
        <w:rPr>
          <w:rFonts w:cstheme="minorHAnsi"/>
          <w:b/>
          <w:sz w:val="20"/>
          <w:szCs w:val="20"/>
          <w:u w:val="single"/>
          <w:lang w:val="nl-NL"/>
        </w:rPr>
        <w:tab/>
      </w:r>
      <w:r w:rsidR="009E6EE9">
        <w:rPr>
          <w:rFonts w:cstheme="minorHAnsi"/>
          <w:b/>
          <w:sz w:val="20"/>
          <w:szCs w:val="20"/>
          <w:u w:val="single"/>
          <w:lang w:val="nl-NL"/>
        </w:rPr>
        <w:t>Akoestisch tussenschot</w:t>
      </w:r>
      <w:r w:rsidRPr="000E6EFC">
        <w:rPr>
          <w:rStyle w:val="MeetChar"/>
          <w:rFonts w:cstheme="minorHAnsi"/>
          <w:b/>
          <w:color w:val="auto"/>
          <w:sz w:val="20"/>
          <w:szCs w:val="20"/>
          <w:u w:val="single"/>
          <w:lang w:val="nl-NL"/>
        </w:rPr>
        <w:t xml:space="preserve"> FH  m²</w:t>
      </w:r>
      <w:r w:rsidRPr="000E6EFC">
        <w:rPr>
          <w:rStyle w:val="RevisieDatum"/>
          <w:rFonts w:cstheme="minorHAnsi"/>
          <w:b/>
          <w:sz w:val="20"/>
          <w:szCs w:val="20"/>
          <w:u w:val="single"/>
          <w:lang w:val="nl-NL"/>
        </w:rPr>
        <w:t xml:space="preserve"> </w:t>
      </w:r>
      <w:r w:rsidRPr="000E6EFC">
        <w:rPr>
          <w:rStyle w:val="Referentie"/>
          <w:rFonts w:cstheme="minorHAnsi"/>
          <w:b/>
          <w:color w:val="auto"/>
          <w:sz w:val="20"/>
          <w:szCs w:val="20"/>
          <w:u w:val="single"/>
          <w:lang w:val="nl-NL"/>
        </w:rPr>
        <w:t xml:space="preserve"> </w:t>
      </w:r>
      <w:r w:rsidR="000E6EFC" w:rsidRPr="000E6EFC">
        <w:rPr>
          <w:rFonts w:cstheme="minorHAnsi"/>
          <w:b/>
          <w:noProof/>
          <w:sz w:val="20"/>
          <w:szCs w:val="20"/>
          <w:u w:val="single"/>
          <w:lang w:val="nl-NL"/>
        </w:rPr>
        <w:t>Rockfon® Canva™ Hanging divider</w:t>
      </w:r>
    </w:p>
    <w:p w14:paraId="497EB94E" w14:textId="56F0F576" w:rsidR="001A2C08" w:rsidRPr="0099323F" w:rsidRDefault="009E6EE9" w:rsidP="009E6EE9">
      <w:pPr>
        <w:spacing w:after="240" w:line="240" w:lineRule="auto"/>
        <w:rPr>
          <w:rFonts w:cstheme="minorHAnsi"/>
          <w:sz w:val="20"/>
          <w:szCs w:val="20"/>
          <w:lang w:val="nl-NL"/>
        </w:rPr>
      </w:pPr>
      <w:proofErr w:type="spellStart"/>
      <w:r w:rsidRPr="009E6EE9">
        <w:rPr>
          <w:rFonts w:cstheme="minorHAnsi"/>
          <w:sz w:val="20"/>
          <w:szCs w:val="20"/>
          <w:u w:val="single"/>
          <w:lang w:val="nl-NL"/>
        </w:rPr>
        <w:t>V</w:t>
      </w:r>
      <w:r w:rsidR="001A2C08" w:rsidRPr="009E6EE9">
        <w:rPr>
          <w:rFonts w:cstheme="minorHAnsi"/>
          <w:sz w:val="20"/>
          <w:szCs w:val="20"/>
          <w:u w:val="single"/>
          <w:lang w:val="nl-NL"/>
        </w:rPr>
        <w:t>olgnr</w:t>
      </w:r>
      <w:proofErr w:type="spellEnd"/>
      <w:r w:rsidR="001A2C08" w:rsidRPr="009E6EE9">
        <w:rPr>
          <w:rFonts w:cstheme="minorHAnsi"/>
          <w:sz w:val="20"/>
          <w:szCs w:val="20"/>
          <w:u w:val="single"/>
          <w:lang w:val="nl-NL"/>
        </w:rPr>
        <w:t>.</w:t>
      </w:r>
      <w:r w:rsidR="001A2C08" w:rsidRPr="0099323F">
        <w:rPr>
          <w:rFonts w:cstheme="minorHAnsi"/>
          <w:sz w:val="20"/>
          <w:szCs w:val="20"/>
          <w:lang w:val="nl-NL"/>
        </w:rPr>
        <w:t xml:space="preserve"> 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1</w:t>
      </w:r>
      <w:r>
        <w:rPr>
          <w:rFonts w:cstheme="minorHAnsi"/>
          <w:noProof/>
          <w:sz w:val="20"/>
          <w:szCs w:val="20"/>
          <w:lang w:val="nl-NL"/>
        </w:rPr>
        <w:t>.00</w:t>
      </w:r>
    </w:p>
    <w:p w14:paraId="1D97C88B" w14:textId="77777777" w:rsidR="001A2C08" w:rsidRPr="0099323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097641AA" w14:textId="4FA48C57" w:rsidR="00F84F50" w:rsidRPr="000E6EFC" w:rsidRDefault="000E6EFC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Rockfon </w:t>
      </w:r>
      <w:proofErr w:type="spellStart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>Canva</w:t>
      </w:r>
      <w:proofErr w:type="spellEnd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>Hanging</w:t>
      </w:r>
      <w:proofErr w:type="spellEnd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>divider</w:t>
      </w:r>
      <w:proofErr w:type="spellEnd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 is een </w:t>
      </w:r>
      <w:proofErr w:type="spellStart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>vrijhangend</w:t>
      </w:r>
      <w:proofErr w:type="spellEnd"/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 akoestisch paneel dat met metalen kabels </w:t>
      </w:r>
      <w:r w:rsidR="00B3119B">
        <w:rPr>
          <w:rFonts w:ascii="Avenir" w:hAnsi="Avenir"/>
          <w:color w:val="000000"/>
          <w:sz w:val="20"/>
          <w:szCs w:val="20"/>
          <w:shd w:val="clear" w:color="auto" w:fill="FFFFFF"/>
        </w:rPr>
        <w:t xml:space="preserve">(meegeleverd) </w:t>
      </w:r>
      <w:r w:rsidRPr="000E6EFC">
        <w:rPr>
          <w:rFonts w:ascii="Avenir" w:hAnsi="Avenir"/>
          <w:color w:val="000000"/>
          <w:sz w:val="20"/>
          <w:szCs w:val="20"/>
          <w:shd w:val="clear" w:color="auto" w:fill="FFFFFF"/>
        </w:rPr>
        <w:t>aan het plafond en de vloer wordt afgehangen. B</w:t>
      </w:r>
      <w:r w:rsidR="001A2C08" w:rsidRPr="000E6EFC">
        <w:rPr>
          <w:rFonts w:cstheme="minorHAnsi"/>
          <w:noProof/>
          <w:sz w:val="20"/>
          <w:szCs w:val="20"/>
          <w:lang w:val="nl-NL"/>
        </w:rPr>
        <w:t xml:space="preserve">estaande uit een 40 mm </w:t>
      </w:r>
      <w:r w:rsidR="000D3687" w:rsidRPr="000E6EFC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0E6EFC">
        <w:rPr>
          <w:rFonts w:cstheme="minorHAnsi"/>
          <w:noProof/>
          <w:sz w:val="20"/>
          <w:szCs w:val="20"/>
          <w:lang w:val="nl-NL"/>
        </w:rPr>
        <w:t>plaat</w:t>
      </w:r>
      <w:r w:rsidR="001A2C08" w:rsidRPr="000E6EFC">
        <w:rPr>
          <w:rFonts w:cstheme="minorHAnsi"/>
          <w:sz w:val="20"/>
          <w:szCs w:val="20"/>
          <w:lang w:val="nl-NL"/>
        </w:rPr>
        <w:t xml:space="preserve"> </w:t>
      </w:r>
      <w:r w:rsidR="001A2C08" w:rsidRPr="000E6EFC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="00F84F50" w:rsidRPr="000E6EFC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0E6EFC">
        <w:rPr>
          <w:rFonts w:cstheme="minorHAnsi"/>
          <w:noProof/>
          <w:sz w:val="20"/>
          <w:szCs w:val="20"/>
          <w:lang w:val="nl-NL"/>
        </w:rPr>
        <w:t xml:space="preserve">bevestigd </w:t>
      </w:r>
      <w:r w:rsidR="00140660" w:rsidRPr="000E6EFC">
        <w:rPr>
          <w:rFonts w:cstheme="minorHAnsi"/>
          <w:noProof/>
          <w:sz w:val="20"/>
          <w:szCs w:val="20"/>
          <w:lang w:val="nl-NL"/>
        </w:rPr>
        <w:t>tussen</w:t>
      </w:r>
      <w:r w:rsidR="00A146FC" w:rsidRPr="000E6EFC">
        <w:rPr>
          <w:rFonts w:cstheme="minorHAnsi"/>
          <w:noProof/>
          <w:sz w:val="20"/>
          <w:szCs w:val="20"/>
          <w:lang w:val="nl-NL"/>
        </w:rPr>
        <w:t xml:space="preserve"> een 61 mm dik gepoedercoat mat aluminium frame</w:t>
      </w:r>
      <w:r w:rsidR="009E6EE9">
        <w:rPr>
          <w:rFonts w:cstheme="minorHAnsi"/>
          <w:noProof/>
          <w:sz w:val="20"/>
          <w:szCs w:val="20"/>
          <w:lang w:val="nl-NL"/>
        </w:rPr>
        <w:t>, wit of zwart,</w:t>
      </w:r>
      <w:r w:rsidR="00A146FC" w:rsidRPr="000E6EFC">
        <w:rPr>
          <w:rFonts w:cstheme="minorHAnsi"/>
          <w:noProof/>
          <w:sz w:val="20"/>
          <w:szCs w:val="20"/>
          <w:lang w:val="nl-NL"/>
        </w:rPr>
        <w:t xml:space="preserve"> en aan de zichtzijde afgewerkt met een bedrukt canvas op polyesterbasis (keuze uit </w:t>
      </w:r>
      <w:r w:rsidR="009E6EE9">
        <w:rPr>
          <w:rFonts w:cstheme="minorHAnsi"/>
          <w:noProof/>
          <w:sz w:val="20"/>
          <w:szCs w:val="20"/>
          <w:lang w:val="nl-NL"/>
        </w:rPr>
        <w:t xml:space="preserve">de </w:t>
      </w:r>
      <w:r w:rsidR="00A146FC" w:rsidRPr="000E6EFC">
        <w:rPr>
          <w:rFonts w:cstheme="minorHAnsi"/>
          <w:noProof/>
          <w:sz w:val="20"/>
          <w:szCs w:val="20"/>
          <w:lang w:val="nl-NL"/>
        </w:rPr>
        <w:t xml:space="preserve">34 kleuren </w:t>
      </w:r>
      <w:r w:rsidR="00140660" w:rsidRPr="000E6EFC">
        <w:rPr>
          <w:rFonts w:cstheme="minorHAnsi"/>
          <w:noProof/>
          <w:sz w:val="20"/>
          <w:szCs w:val="20"/>
          <w:lang w:val="nl-NL"/>
        </w:rPr>
        <w:t xml:space="preserve">uit </w:t>
      </w:r>
      <w:r w:rsidR="009E6EE9">
        <w:rPr>
          <w:rFonts w:cstheme="minorHAnsi"/>
          <w:noProof/>
          <w:sz w:val="20"/>
          <w:szCs w:val="20"/>
          <w:lang w:val="nl-NL"/>
        </w:rPr>
        <w:t xml:space="preserve">de </w:t>
      </w:r>
      <w:r w:rsidR="00140660" w:rsidRPr="000E6EFC">
        <w:rPr>
          <w:rFonts w:cstheme="minorHAnsi"/>
          <w:noProof/>
          <w:sz w:val="20"/>
          <w:szCs w:val="20"/>
          <w:lang w:val="nl-NL"/>
        </w:rPr>
        <w:t>Colour</w:t>
      </w:r>
      <w:r w:rsidR="009E6EE9">
        <w:rPr>
          <w:rFonts w:cstheme="minorHAnsi"/>
          <w:noProof/>
          <w:sz w:val="20"/>
          <w:szCs w:val="20"/>
          <w:lang w:val="nl-NL"/>
        </w:rPr>
        <w:t>s</w:t>
      </w:r>
      <w:r w:rsidR="00140660" w:rsidRPr="000E6EFC">
        <w:rPr>
          <w:rFonts w:cstheme="minorHAnsi"/>
          <w:noProof/>
          <w:sz w:val="20"/>
          <w:szCs w:val="20"/>
          <w:lang w:val="nl-NL"/>
        </w:rPr>
        <w:t xml:space="preserve"> of Wellbeing </w:t>
      </w:r>
      <w:r w:rsidR="009E6EE9">
        <w:rPr>
          <w:rFonts w:cstheme="minorHAnsi"/>
          <w:noProof/>
          <w:sz w:val="20"/>
          <w:szCs w:val="20"/>
          <w:lang w:val="nl-NL"/>
        </w:rPr>
        <w:t xml:space="preserve">range </w:t>
      </w:r>
      <w:r w:rsidR="00A146FC" w:rsidRPr="000E6EFC">
        <w:rPr>
          <w:rFonts w:cstheme="minorHAnsi"/>
          <w:noProof/>
          <w:sz w:val="20"/>
          <w:szCs w:val="20"/>
          <w:lang w:val="nl-NL"/>
        </w:rPr>
        <w:t>of ontwerp uw eigen grafische lay-out).  Het canvas is uitneembaar, wasbaar en verwisselbaar.</w:t>
      </w:r>
    </w:p>
    <w:p w14:paraId="72EB6079" w14:textId="77777777" w:rsidR="00A146FC" w:rsidRPr="0099323F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08563C8F" w:rsidR="001A2C08" w:rsidRPr="0099323F" w:rsidRDefault="00140660" w:rsidP="00140660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 w:rsidRPr="00140660">
        <w:rPr>
          <w:rFonts w:cstheme="minorHAnsi"/>
          <w:noProof/>
          <w:sz w:val="20"/>
          <w:szCs w:val="20"/>
          <w:lang w:val="nl-NL"/>
        </w:rPr>
        <w:t>Panelen worden vrijwel volledig gemonteerd geleverd, dus montage is snel en eenvoudig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.  </w:t>
      </w:r>
    </w:p>
    <w:p w14:paraId="10C280D7" w14:textId="77777777" w:rsidR="001A2C08" w:rsidRPr="0099323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6A8DC36D" w:rsidR="001A2C08" w:rsidRPr="0099323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4CE9B552" w14:textId="4F219460" w:rsidR="00A146FC" w:rsidRPr="0099323F" w:rsidRDefault="00A146FC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Afmetingen (breedte x hoogte x diepte) (mm) en gewicht (kg/paneel):</w:t>
      </w:r>
    </w:p>
    <w:p w14:paraId="7873E9E4" w14:textId="1033407A" w:rsidR="00A146FC" w:rsidRPr="0099323F" w:rsidRDefault="00B3119B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>600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x </w:t>
      </w:r>
      <w:r w:rsidR="00140660">
        <w:rPr>
          <w:rFonts w:cstheme="minorHAnsi"/>
          <w:noProof/>
          <w:sz w:val="20"/>
          <w:szCs w:val="20"/>
          <w:lang w:val="en-GB"/>
        </w:rPr>
        <w:t>1</w:t>
      </w:r>
      <w:r>
        <w:rPr>
          <w:rFonts w:cstheme="minorHAnsi"/>
          <w:noProof/>
          <w:sz w:val="20"/>
          <w:szCs w:val="20"/>
          <w:lang w:val="en-GB"/>
        </w:rPr>
        <w:t>8</w:t>
      </w:r>
      <w:r w:rsidR="00140660">
        <w:rPr>
          <w:rFonts w:cstheme="minorHAnsi"/>
          <w:noProof/>
          <w:sz w:val="20"/>
          <w:szCs w:val="20"/>
          <w:lang w:val="en-GB"/>
        </w:rPr>
        <w:t>00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x 61 mm (</w:t>
      </w:r>
      <w:r>
        <w:rPr>
          <w:rFonts w:cstheme="minorHAnsi"/>
          <w:noProof/>
          <w:sz w:val="20"/>
          <w:szCs w:val="20"/>
          <w:lang w:val="en-GB"/>
        </w:rPr>
        <w:t>9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,0 kg/paneel)</w:t>
      </w:r>
    </w:p>
    <w:p w14:paraId="11E0BCC7" w14:textId="5B8459DF" w:rsidR="00A146FC" w:rsidRPr="0099323F" w:rsidRDefault="00B3119B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>9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00 x </w:t>
      </w:r>
      <w:r w:rsidR="00866A25">
        <w:rPr>
          <w:rFonts w:cstheme="minorHAnsi"/>
          <w:noProof/>
          <w:sz w:val="20"/>
          <w:szCs w:val="20"/>
          <w:lang w:val="en-GB"/>
        </w:rPr>
        <w:t>18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00 x 61 mm (</w:t>
      </w:r>
      <w:r w:rsidR="00866A25">
        <w:rPr>
          <w:rFonts w:cstheme="minorHAnsi"/>
          <w:noProof/>
          <w:sz w:val="20"/>
          <w:szCs w:val="20"/>
          <w:lang w:val="en-GB"/>
        </w:rPr>
        <w:t>1</w:t>
      </w:r>
      <w:r>
        <w:rPr>
          <w:rFonts w:cstheme="minorHAnsi"/>
          <w:noProof/>
          <w:sz w:val="20"/>
          <w:szCs w:val="20"/>
          <w:lang w:val="en-GB"/>
        </w:rPr>
        <w:t>2</w:t>
      </w:r>
      <w:r w:rsidR="00866A25">
        <w:rPr>
          <w:rFonts w:cstheme="minorHAnsi"/>
          <w:noProof/>
          <w:sz w:val="20"/>
          <w:szCs w:val="20"/>
          <w:lang w:val="en-GB"/>
        </w:rPr>
        <w:t>,0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kg/paneel)</w:t>
      </w:r>
    </w:p>
    <w:p w14:paraId="75B6D5F6" w14:textId="4C3757D0" w:rsidR="00A146FC" w:rsidRPr="0099323F" w:rsidRDefault="00866A25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>1</w:t>
      </w:r>
      <w:r w:rsidR="00B3119B">
        <w:rPr>
          <w:rFonts w:cstheme="minorHAnsi"/>
          <w:noProof/>
          <w:sz w:val="20"/>
          <w:szCs w:val="20"/>
          <w:lang w:val="en-GB"/>
        </w:rPr>
        <w:t>2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00 x 1</w:t>
      </w:r>
      <w:r w:rsidR="00B3119B">
        <w:rPr>
          <w:rFonts w:cstheme="minorHAnsi"/>
          <w:noProof/>
          <w:sz w:val="20"/>
          <w:szCs w:val="20"/>
          <w:lang w:val="en-GB"/>
        </w:rPr>
        <w:t>8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00 x 61 mm  (1</w:t>
      </w:r>
      <w:r w:rsidR="00B3119B">
        <w:rPr>
          <w:rFonts w:cstheme="minorHAnsi"/>
          <w:noProof/>
          <w:sz w:val="20"/>
          <w:szCs w:val="20"/>
          <w:lang w:val="en-GB"/>
        </w:rPr>
        <w:t>5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,0 kg/paneel)</w:t>
      </w:r>
    </w:p>
    <w:p w14:paraId="0602F1A6" w14:textId="39FD1BFC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</w:p>
    <w:p w14:paraId="3E27729B" w14:textId="416DFB6C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Afwijkende afmetingen op aanvraag:</w:t>
      </w:r>
    </w:p>
    <w:p w14:paraId="37C2C92C" w14:textId="77777777" w:rsidR="00B3119B" w:rsidRPr="00B3119B" w:rsidRDefault="00B3119B" w:rsidP="00B3119B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B3119B">
        <w:rPr>
          <w:rFonts w:cstheme="minorHAnsi"/>
          <w:noProof/>
          <w:sz w:val="20"/>
          <w:szCs w:val="20"/>
          <w:lang w:val="x-none"/>
        </w:rPr>
        <w:t xml:space="preserve">Minimale afmeting (B x H ): 600 x 600 mm </w:t>
      </w:r>
    </w:p>
    <w:p w14:paraId="74D33515" w14:textId="5FCD800A" w:rsidR="000D3687" w:rsidRDefault="00B3119B" w:rsidP="00B3119B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B3119B">
        <w:rPr>
          <w:rFonts w:cstheme="minorHAnsi"/>
          <w:noProof/>
          <w:sz w:val="20"/>
          <w:szCs w:val="20"/>
          <w:lang w:val="x-none"/>
        </w:rPr>
        <w:t>Maximale afmeting: (B x H): 2400 x 2000 mm</w:t>
      </w:r>
    </w:p>
    <w:p w14:paraId="69B5F485" w14:textId="77777777" w:rsidR="00B3119B" w:rsidRPr="0099323F" w:rsidRDefault="00B3119B" w:rsidP="00B3119B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3ED1A273" w:rsidR="001A2C08" w:rsidRPr="009E6EE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4D4249D6" w:rsidR="001A2C08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031769FE" w14:textId="77777777" w:rsidR="001C368F" w:rsidRPr="0099323F" w:rsidRDefault="001C368F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0B51ED5F" w:rsidR="001A2C08" w:rsidRPr="009E6EE9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89E8CDF" w14:textId="06A05333" w:rsidR="001A2C08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</w:t>
      </w:r>
      <w:r w:rsidR="009E6EE9">
        <w:rPr>
          <w:rFonts w:cstheme="minorHAnsi"/>
          <w:noProof/>
          <w:sz w:val="20"/>
          <w:szCs w:val="20"/>
          <w:lang w:val="nl-NL"/>
        </w:rPr>
        <w:t xml:space="preserve">de 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panelen als voor te leggen monstermateriaal. </w:t>
      </w:r>
      <w:bookmarkStart w:id="0" w:name="_Hlk129115293"/>
    </w:p>
    <w:p w14:paraId="11508C7D" w14:textId="77777777" w:rsidR="001C368F" w:rsidRPr="0099323F" w:rsidRDefault="001C368F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8217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992"/>
        <w:gridCol w:w="993"/>
        <w:gridCol w:w="992"/>
      </w:tblGrid>
      <w:tr w:rsidR="00866A25" w:rsidRPr="00457077" w14:paraId="6E485F1F" w14:textId="5C598440" w:rsidTr="009E6EE9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458EFDEF" w14:textId="3821AC1E" w:rsidR="00866A25" w:rsidRPr="00B3119B" w:rsidRDefault="00B3119B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B3119B">
              <w:rPr>
                <w:sz w:val="20"/>
                <w:szCs w:val="20"/>
              </w:rPr>
              <w:t>Aeq</w:t>
            </w:r>
            <w:proofErr w:type="spellEnd"/>
            <w:r w:rsidRPr="00B3119B">
              <w:rPr>
                <w:sz w:val="20"/>
                <w:szCs w:val="20"/>
              </w:rPr>
              <w:t xml:space="preserve"> (m2/element)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B09923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F88FE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7315E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03AC6C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A958E" w14:textId="77777777" w:rsidR="00866A25" w:rsidRPr="00B3119B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3119B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866A25" w:rsidRPr="00457077" w14:paraId="75CBB0B2" w14:textId="5DA85EC8" w:rsidTr="009E6EE9">
        <w:trPr>
          <w:cantSplit/>
        </w:trPr>
        <w:tc>
          <w:tcPr>
            <w:tcW w:w="2689" w:type="dxa"/>
          </w:tcPr>
          <w:p w14:paraId="3BB157C4" w14:textId="66F8E3D4" w:rsidR="00866A25" w:rsidRPr="00B3119B" w:rsidRDefault="00B3119B" w:rsidP="00CA060D">
            <w:pPr>
              <w:rPr>
                <w:rFonts w:cstheme="minorHAnsi"/>
                <w:sz w:val="20"/>
                <w:szCs w:val="20"/>
              </w:rPr>
            </w:pPr>
            <w:r w:rsidRPr="00B3119B">
              <w:rPr>
                <w:sz w:val="20"/>
                <w:szCs w:val="20"/>
              </w:rPr>
              <w:t>1,08 m2 (600 x 1800 mm)</w:t>
            </w:r>
          </w:p>
        </w:tc>
        <w:tc>
          <w:tcPr>
            <w:tcW w:w="850" w:type="dxa"/>
          </w:tcPr>
          <w:p w14:paraId="12B36464" w14:textId="022B0334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0,55</w:t>
            </w:r>
          </w:p>
        </w:tc>
        <w:tc>
          <w:tcPr>
            <w:tcW w:w="851" w:type="dxa"/>
          </w:tcPr>
          <w:p w14:paraId="5C843C35" w14:textId="4403D2B2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1,10</w:t>
            </w:r>
          </w:p>
        </w:tc>
        <w:tc>
          <w:tcPr>
            <w:tcW w:w="850" w:type="dxa"/>
          </w:tcPr>
          <w:p w14:paraId="0BC25128" w14:textId="14ECCFBE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14:paraId="6B3AD261" w14:textId="6C52CAAE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2,05</w:t>
            </w:r>
          </w:p>
        </w:tc>
        <w:tc>
          <w:tcPr>
            <w:tcW w:w="993" w:type="dxa"/>
          </w:tcPr>
          <w:p w14:paraId="763DE146" w14:textId="72EDBD3F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2,20</w:t>
            </w:r>
          </w:p>
        </w:tc>
        <w:tc>
          <w:tcPr>
            <w:tcW w:w="992" w:type="dxa"/>
          </w:tcPr>
          <w:p w14:paraId="44A7D60E" w14:textId="06618CEA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2,15</w:t>
            </w:r>
          </w:p>
        </w:tc>
      </w:tr>
      <w:tr w:rsidR="00866A25" w:rsidRPr="00457077" w14:paraId="762D6372" w14:textId="77777777" w:rsidTr="009E6EE9">
        <w:trPr>
          <w:cantSplit/>
        </w:trPr>
        <w:tc>
          <w:tcPr>
            <w:tcW w:w="2689" w:type="dxa"/>
          </w:tcPr>
          <w:p w14:paraId="203E51B6" w14:textId="676798B0" w:rsidR="00866A25" w:rsidRPr="00B3119B" w:rsidRDefault="00B3119B" w:rsidP="00B3119B">
            <w:pPr>
              <w:tabs>
                <w:tab w:val="right" w:pos="3040"/>
              </w:tabs>
              <w:rPr>
                <w:rFonts w:cstheme="minorHAnsi"/>
                <w:sz w:val="20"/>
                <w:szCs w:val="20"/>
              </w:rPr>
            </w:pPr>
            <w:r w:rsidRPr="00B3119B">
              <w:rPr>
                <w:sz w:val="20"/>
                <w:szCs w:val="20"/>
              </w:rPr>
              <w:t>1,62 m2 (900 x 1800 mm)</w:t>
            </w:r>
            <w:r w:rsidRPr="00B3119B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11D187CA" w14:textId="58E36988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0,85</w:t>
            </w:r>
          </w:p>
        </w:tc>
        <w:tc>
          <w:tcPr>
            <w:tcW w:w="851" w:type="dxa"/>
          </w:tcPr>
          <w:p w14:paraId="2E530D9A" w14:textId="318237AB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1,65</w:t>
            </w:r>
          </w:p>
        </w:tc>
        <w:tc>
          <w:tcPr>
            <w:tcW w:w="850" w:type="dxa"/>
          </w:tcPr>
          <w:p w14:paraId="433D8FC8" w14:textId="04220A00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2,45</w:t>
            </w:r>
          </w:p>
        </w:tc>
        <w:tc>
          <w:tcPr>
            <w:tcW w:w="992" w:type="dxa"/>
          </w:tcPr>
          <w:p w14:paraId="2BC1C665" w14:textId="32B9359A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3,10</w:t>
            </w:r>
          </w:p>
        </w:tc>
        <w:tc>
          <w:tcPr>
            <w:tcW w:w="993" w:type="dxa"/>
          </w:tcPr>
          <w:p w14:paraId="43E4E942" w14:textId="23F1BC0A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3,30</w:t>
            </w:r>
          </w:p>
        </w:tc>
        <w:tc>
          <w:tcPr>
            <w:tcW w:w="992" w:type="dxa"/>
          </w:tcPr>
          <w:p w14:paraId="3FD55747" w14:textId="51CD23E8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3,20</w:t>
            </w:r>
          </w:p>
        </w:tc>
      </w:tr>
      <w:tr w:rsidR="00866A25" w:rsidRPr="00457077" w14:paraId="4969183C" w14:textId="77777777" w:rsidTr="009E6EE9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2EFA2BCB" w14:textId="6C8D4856" w:rsidR="00866A25" w:rsidRPr="00B3119B" w:rsidRDefault="00B3119B" w:rsidP="00CA060D">
            <w:pPr>
              <w:rPr>
                <w:rFonts w:cstheme="minorHAnsi"/>
                <w:sz w:val="20"/>
                <w:szCs w:val="20"/>
              </w:rPr>
            </w:pPr>
            <w:r w:rsidRPr="00B3119B">
              <w:rPr>
                <w:sz w:val="20"/>
                <w:szCs w:val="20"/>
              </w:rPr>
              <w:t>2,16 m2 (1200 x 1800 mm)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EE03D" w14:textId="4A6CF082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1,15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9D67AB" w14:textId="37E24B33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2,20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9EC6FD" w14:textId="7311BD83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3,30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44B6C5" w14:textId="51DA8FBC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4,10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247BC2" w14:textId="5F26501E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AC934C" w14:textId="002D301F" w:rsidR="00866A25" w:rsidRPr="00B3119B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119B">
              <w:rPr>
                <w:rFonts w:cstheme="minorHAnsi"/>
                <w:sz w:val="20"/>
                <w:szCs w:val="20"/>
              </w:rPr>
              <w:t>4,30</w:t>
            </w:r>
          </w:p>
        </w:tc>
      </w:tr>
    </w:tbl>
    <w:p w14:paraId="2246A629" w14:textId="4E91024A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bookmarkEnd w:id="0"/>
    <w:p w14:paraId="0B61325D" w14:textId="610C15F3" w:rsidR="001A2C08" w:rsidRPr="009E6EE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091379F9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A060D" w:rsidRPr="00CA060D">
        <w:rPr>
          <w:rFonts w:cstheme="minorHAnsi"/>
          <w:noProof/>
          <w:sz w:val="20"/>
          <w:szCs w:val="20"/>
        </w:rPr>
        <w:t>B-s1,d0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</w:p>
    <w:p w14:paraId="6652FEF8" w14:textId="77777777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09AADD3" w14:textId="27B2ED36" w:rsidR="001A2C08" w:rsidRPr="009E6EE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7B03BE3" w:rsidR="001A2C08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frame kan worden schoongemaakt met behulp van een </w:t>
      </w:r>
      <w:r w:rsidR="001A2C08"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lagedrukschuimreiniging.  </w:t>
      </w:r>
    </w:p>
    <w:p w14:paraId="0EF61915" w14:textId="6732BD86" w:rsidR="00CA060D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canvas kan worden schoongemaakt met behulp van een </w:t>
      </w:r>
      <w:r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wassen in een normale </w:t>
      </w:r>
      <w:r w:rsidR="009E6EE9">
        <w:rPr>
          <w:rFonts w:cstheme="minorHAnsi"/>
          <w:noProof/>
          <w:sz w:val="20"/>
          <w:szCs w:val="20"/>
        </w:rPr>
        <w:t>was</w:t>
      </w:r>
      <w:r>
        <w:rPr>
          <w:rFonts w:cstheme="minorHAnsi"/>
          <w:noProof/>
          <w:sz w:val="20"/>
          <w:szCs w:val="20"/>
        </w:rPr>
        <w:t xml:space="preserve">machine tot </w:t>
      </w:r>
      <w:r w:rsidR="009E6EE9">
        <w:rPr>
          <w:rFonts w:cstheme="minorHAnsi"/>
          <w:noProof/>
          <w:sz w:val="20"/>
          <w:szCs w:val="20"/>
        </w:rPr>
        <w:t xml:space="preserve">max. </w:t>
      </w:r>
      <w:r>
        <w:rPr>
          <w:rFonts w:cstheme="minorHAnsi"/>
          <w:noProof/>
          <w:sz w:val="20"/>
          <w:szCs w:val="20"/>
        </w:rPr>
        <w:t xml:space="preserve">70°C.  </w:t>
      </w:r>
    </w:p>
    <w:p w14:paraId="1D447C4C" w14:textId="2BE5E7DB" w:rsidR="00CA060D" w:rsidRDefault="00CA060D" w:rsidP="00CA060D">
      <w:pPr>
        <w:autoSpaceDE w:val="0"/>
        <w:autoSpaceDN w:val="0"/>
        <w:adjustRightInd w:val="0"/>
        <w:snapToGrid w:val="0"/>
        <w:spacing w:after="0" w:line="240" w:lineRule="auto"/>
        <w:rPr>
          <w:rFonts w:ascii="Avenir" w:eastAsia="Times New Roman" w:hAnsi="Avenir" w:cs="Avenir"/>
          <w:color w:val="000000"/>
          <w:sz w:val="16"/>
          <w:szCs w:val="24"/>
          <w:lang w:val="x-none"/>
        </w:rPr>
      </w:pPr>
    </w:p>
    <w:p w14:paraId="7067D5C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6970B8AE" w14:textId="1642F39B" w:rsidR="001A2C08" w:rsidRPr="009E6EE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E6EE9">
        <w:rPr>
          <w:rFonts w:cstheme="minorHAnsi"/>
          <w:b/>
          <w:bCs/>
          <w:sz w:val="20"/>
          <w:szCs w:val="20"/>
          <w:u w:val="single"/>
        </w:rPr>
        <w:t>Hygiëne</w:t>
      </w:r>
      <w:r w:rsidR="009E6EE9" w:rsidRPr="009E6EE9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2E535D41" w14:textId="2188439F" w:rsidR="00457077" w:rsidRPr="009E6EE9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</w:rPr>
        <w:lastRenderedPageBreak/>
        <w:t>Binnenklimaat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0396FB17" w:rsidR="001A2C08" w:rsidRPr="009E6EE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9E6EE9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9E6EE9" w:rsidRPr="009E6EE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522B4A0A" w:rsidR="001A2C08" w:rsidRPr="009E6EE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E6EE9">
        <w:rPr>
          <w:rFonts w:cstheme="minorHAnsi"/>
          <w:b/>
          <w:bCs/>
          <w:sz w:val="20"/>
          <w:szCs w:val="20"/>
          <w:u w:val="single"/>
        </w:rPr>
        <w:t>Levensduur</w:t>
      </w:r>
      <w:r w:rsidR="009E6EE9" w:rsidRPr="009E6EE9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746C63DE" w14:textId="7777777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  <w:proofErr w:type="gramEnd"/>
    </w:p>
    <w:p w14:paraId="1FEF15C3" w14:textId="57EE2E90" w:rsidR="006A1F31" w:rsidRDefault="001A2C08" w:rsidP="009E6EE9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5EC7" w14:textId="77777777" w:rsidR="0036635C" w:rsidRDefault="0036635C">
      <w:pPr>
        <w:spacing w:after="0" w:line="240" w:lineRule="auto"/>
      </w:pPr>
      <w:r>
        <w:separator/>
      </w:r>
    </w:p>
  </w:endnote>
  <w:endnote w:type="continuationSeparator" w:id="0">
    <w:p w14:paraId="1C84033B" w14:textId="77777777" w:rsidR="0036635C" w:rsidRDefault="003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3146E4C8" w:rsidR="0095166A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4D7F88">
      <w:rPr>
        <w:noProof/>
        <w:sz w:val="16"/>
        <w:szCs w:val="16"/>
      </w:rPr>
      <w:t>27/02</w:t>
    </w:r>
    <w:r>
      <w:rPr>
        <w:noProof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3D49" w14:textId="77777777" w:rsidR="0036635C" w:rsidRDefault="0036635C">
      <w:pPr>
        <w:spacing w:after="0" w:line="240" w:lineRule="auto"/>
      </w:pPr>
      <w:r>
        <w:separator/>
      </w:r>
    </w:p>
  </w:footnote>
  <w:footnote w:type="continuationSeparator" w:id="0">
    <w:p w14:paraId="39661F31" w14:textId="77777777" w:rsidR="0036635C" w:rsidRDefault="0036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D3687"/>
    <w:rsid w:val="000E6EFC"/>
    <w:rsid w:val="00140660"/>
    <w:rsid w:val="001A2C08"/>
    <w:rsid w:val="001C368F"/>
    <w:rsid w:val="002A5A57"/>
    <w:rsid w:val="0036635C"/>
    <w:rsid w:val="00457077"/>
    <w:rsid w:val="004D7F88"/>
    <w:rsid w:val="00507D16"/>
    <w:rsid w:val="00541BD9"/>
    <w:rsid w:val="005C2D60"/>
    <w:rsid w:val="006A1F31"/>
    <w:rsid w:val="00847AEA"/>
    <w:rsid w:val="00866A25"/>
    <w:rsid w:val="0099323F"/>
    <w:rsid w:val="009D4A9B"/>
    <w:rsid w:val="009E6EE9"/>
    <w:rsid w:val="00A146FC"/>
    <w:rsid w:val="00B3119B"/>
    <w:rsid w:val="00BA1867"/>
    <w:rsid w:val="00BB35F6"/>
    <w:rsid w:val="00C22102"/>
    <w:rsid w:val="00CA060D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68F"/>
  </w:style>
  <w:style w:type="paragraph" w:styleId="Kop1">
    <w:name w:val="heading 1"/>
    <w:basedOn w:val="Standaard"/>
    <w:next w:val="Standaard"/>
    <w:link w:val="Kop1Char"/>
    <w:uiPriority w:val="9"/>
    <w:qFormat/>
    <w:rsid w:val="000E6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  <w:style w:type="character" w:customStyle="1" w:styleId="Kop1Char">
    <w:name w:val="Kop 1 Char"/>
    <w:basedOn w:val="Standaardalinea-lettertype"/>
    <w:link w:val="Kop1"/>
    <w:uiPriority w:val="9"/>
    <w:rsid w:val="000E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Erik Gubbels</cp:lastModifiedBy>
  <cp:revision>2</cp:revision>
  <dcterms:created xsi:type="dcterms:W3CDTF">2023-03-21T08:53:00Z</dcterms:created>
  <dcterms:modified xsi:type="dcterms:W3CDTF">2023-03-21T08:53:00Z</dcterms:modified>
</cp:coreProperties>
</file>